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CRBG</w:t>
      </w:r>
      <w:r>
        <w:rPr>
          <w:rFonts w:ascii="Calibri" w:hAnsi="Calibri"/>
          <w:b/>
          <w:color w:val="1A2010"/>
          <w:sz w:val="40"/>
        </w:rPr>
        <w:t xml:space="preserve">  Corebridge Financial, Inc.</w:t>
      </w:r>
    </w:p>
    <w:p>
      <w:pPr>
        <w:spacing w:after="120"/>
      </w:pPr>
      <w:r>
        <w:rPr>
          <w:rFonts w:ascii="Calibri" w:hAnsi="Calibri"/>
          <w:b/>
          <w:color w:val="6E8450"/>
          <w:sz w:val="18"/>
        </w:rPr>
        <w:t>GROWTH SLEEVE · 2026-08-30 · Inspire: 26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Life · NYSE · United States</w:t>
      </w:r>
    </w:p>
    <w:p>
      <w:pPr>
        <w:spacing w:after="80"/>
      </w:pPr>
      <w:r>
        <w:rPr>
          <w:rFonts w:ascii="Calibri" w:hAnsi="Calibri"/>
          <w:b w:val="0"/>
          <w:color w:val="3A4A28"/>
          <w:sz w:val="20"/>
        </w:rPr>
        <w:t>Corebridge Financial is a leading provider of retirement solutions and insurance products, spun off from AIG in September 2022. The company offers individual retirement annuities (fixed, indexed, variable), institutional retirement products (guaranteed investment contracts, funding agreements), life insurance, and investment management services. Corebridge is a Top 5 total annuity provider for over a decade and the only insurer with a top 10 sales ranking across all individual retirement annuity products. Under new CEO Marc Costantini (December 2025, formerly of Manulife/Munich Re), the company reported Q2 2026 revenue of $3.91B with EPS rising 14% YoY excluding variable investment income. Market cap approximately $14.2B. AIG completed its separation, with Corebridge now fully independent.</w:t>
      </w:r>
    </w:p>
    <w:p>
      <w:r>
        <w:rPr>
          <w:rFonts w:ascii="Calibri" w:hAnsi="Calibri"/>
          <w:b/>
          <w:color w:val="6E8450"/>
          <w:sz w:val="18"/>
        </w:rPr>
        <w:t>6,300 Employees · https://www.corebridgefinancial.com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Corebridge launched the Protected Growth Benefit feature in its Power Series of Index Annuities in July 2026, offering principal protection with a guaranteed minimum accumulation benefit and diversified index-linked strategies [1]. The Institutional Markets segment achieved LTM sales growth of 62% to $10.9B through capitalizing on guaranteed investment contract opportunities [1]. However, these represent incremental product features within existing categories rather than transformative innovation or new market creation. AI Deployment (0/2): The Board is 'focused on advancing the strategic use of data, analytics and AI' and investing in digital transformation, but no AI-powered products are shipping to customers and no specific AI-driven cost savings have been quantified [2]. This remains at the exploration/intention stage. Market Share (2/2): Corebridge has maintained its position as a Top 5 total annuity provider for over a decade and is the only insurer with a top 10 sales ranking across ALL individual retirement annuity products — fixed, indexed, variable, and income annuities [1]. This breadth of leadership across every annuity category is unique in the industry. Product Pipeline (1/2): Continued expansion of the Power Series annuity platform with new features, and a revenue growth path to $23.4B by 2029, but no specific next-generation products with named launch dates beyond incremental feature additions [1]. R&amp;D Intensity (0/1): Insurance companies invest in product development and actuarial modeling rather than traditional R&amp;D; no specific technology R&amp;D spending data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Corebridge Financial's purpose centers on helping people plan for and live in retirement — an inherently meaningful mission that identifies a clear beneficiary and societal need [2]. The company's website describes a 'customer-focused culture grounded in accountability, sound governance, thoughtful execution, and continued innovation.' This is clear and identifies what the company does and for whom, but is interchangeable with any large insurance/retirement peer. Community &amp; Charitable Impact (0/2): No evidence of significant corporate philanthropy, community programs, or foundation activity identified in public materials. As a recently independent company (fully separated from AIG in 2024-2025), standalone charitable initiatives may still be developing. Employee Retention (0/2): No specific retention, turnover, or tenure data publicly available. CEO Marc Costantini joined in December 2025, representing a significant leadership change from the founding AIG-era team. Insider Buying (0/2): No evidence of meaningful net insider buying by executives. The company completed a $5.96B share repurchase program, but this is corporate buyback activity, not personal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5yr revenue CAGR excluded (company IPO'd September 2022, insufficient public history). Forward P/E of 6.24x is exceptionally cheap, well below the 20x target — reflecting the market's persistent discount on insurance/annuity businesses despite Corebridge's structural earnings power [3]. Forward PEG of 0.37 is dramatically below the 1.0 target, scoring perfectly and indicating the stock is deeply undervalued relative to expected earnings growth [3]. D/E of 127% scores 0.75 (between the 70% target and 300% floor), which is structurally normal for an insurance company that uses leverage to invest policyholder float. ROE of 7.14% scores 0.48, below the 15% target — reflecting the insurance industry's lower-ROE profile and impact of variable investment income volatility on GAAP earnings. Profit margin of 4.65% scores 0.23, dragged down by the insurance model where premiums and investment income flow through as revenue but the business operates on thin GAAP margins (core operating margins are substantially higher). Revenue growth YoY of -1.2% scores 0.63 — a modest contraction reflecting portfolio optimization and deliberate shift toward higher-quality business mix [1]. Liquidity: $31.95 x 4.87M = $155.6M daily dollar volume, easily clears the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Corebridge Financial operates with a finite mindset oriented toward financial optimization, capital returns, and market positioning. The company's strategic priorities — completing the $5.96B share buyback, optimizing the product portfolio, and achieving cost synergies post-AIG separation — are classic finite game objectives focused on this quarter and next quarter rather than building for the next decade. The appointment of Marc Costantini as CEO brings execution expertise but no evidence of a transformative vision. The annuity business is inherently valuable but Corebridge has not articulated why it exists beyond providing competitive returns and retirement products.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Corebridge's implicit purpose — helping Americans plan for and live in retirement — is socially valuable but not articulated as a Just Cause. The company's public communications focus on 'accountability,' 'sound governance,' and 'continued innovation' — operational virtues, not a vision of a future state that inspires sacrifice [2]. No evidence that strategic decisions are traced back to a deeper purpose; the AIG separation, product launches, and capital returns are all driven by financial optimization rather than advancing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Corebridge has approximately 6,300 employees and has navigated the complex separation from AIG without reported cultural disruption, suggesting adequate organizational trust. The executive team brings 'deep industry expertise' and the Board has demonstrated stability [2]. However, the CEO change in December 2025 (Marc Costantini replacing Kevin Hogan) introduces new leadership dynamics, and no specific data on employee satisfaction, turnover, or tenure is available to assess the depth of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Corebridge positions itself through market share rankings (Top 5, top 10 across all annuity products) and competitive product features — language oriented toward 'winning' in product categories rather than learning from competitors' strengths. The company acknowledges InsurTech as a competitive threat but frames it defensively rather than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separation from AIG and establishment as an independent public company represents meaningful strategic evolution — Corebridge transformed from a division managed for AIG's balance sheet optimization into a standalone company with its own strategic direction, capital allocation, and growth agenda. However, the core business model (annuities, life insurance, institutional retirement) is unchanged from the AIG era, and the company has not demonstrated willingness to abandon profitable but misaligned businesses in service of a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Corebridge's strategic decisions are oriented toward financial optimization rather than long-term capability building at the expense of short-term results. The $5.96B buyback program returns capital at cheap valuations — a financially sound decision, but one that prioritizes current shareholder returns over transformative investment [1]. No examples identified of leadership sacrificing near-term performance for long-term capability, investing heavily in R&amp;D during downturns, or walking away from profitable but misaligned businesses.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Corebridge Financial at 6.24x forward earnings and 0.37 PEG is one of the cheapest financial stocks in the market, offering compelling value in a growing annuity industry. The company maintains Top 5 annuity market share with unique breadth across all product categories, and Institutional Markets sales surged 62% YoY to $10.9B, demonstrating accelerating demand for guaranteed investment contracts [1]. Core EPS (excluding variable investment income) grew 14% YoY in Q2 2026, showing the underlying business is strengthening even as GAAP results are distorted by investment volatility. The $5.96B completed buyback program reduced share count by 12.73%, directly accreting EPS. D/E of 127% is conservative for an insurance company, and the 3.07% dividend yield provides income while the valuation gap closes. The annuity industry tailwind is structural — industry sales grew from $250B in 2021 to $450B in 2025 as demographics and interest rates favor guaranteed income products [1].</w:t>
      </w:r>
    </w:p>
    <w:p>
      <w:pPr>
        <w:spacing w:after="120"/>
      </w:pPr>
      <w:r>
        <w:rPr>
          <w:rFonts w:ascii="Calibri" w:hAnsi="Calibri"/>
          <w:b w:val="0"/>
          <w:color w:val="3A4A28"/>
          <w:sz w:val="20"/>
        </w:rPr>
        <w:t>The bear case centers on earnings quality, interest rate sensitivity, and limited growth visibility. GAAP net income of just $2M in Q2 2026 despite $3.91B revenue illustrates how variable investment income volatility can obliterate reported earnings, making the stock difficult for investors to value with confidence [1]. ROE of 7.14% is weak even for an insurance company, suggesting the business generates inadequate returns on its capital base. Revenue contracted -1.2% YoY in FY2025, and 'deliberate portfolio optimization' may be management euphemism for shrinking the book. The CEO transition (Marc Costantini joined December 2025 from Munich Re/Manulife) introduces execution risk as the new leader reshapes strategy [2]. Interest rate declines would compress margins on the investment portfolio that backs annuity guarantees, and rising rates — while benefiting new business pricing — create reinvestment risk on legacy books. The Inspire Impact Score of 26 (ALIGNED, barely) with limited positive attributions (only 5) suggests modest faith-alignment. The company's 4-year public track record since the 2022 IPO provides limited history for assessing management consistency through market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Annuity industry structural tailwind as sales grew from $250B (2021) to $450B (2025), driven by aging demographics, higher interest rates improving guaranteed crediting rates, and secular shift toward guaranteed retirement income — Corebridge's Top 5 position captures this flow disproportionately [1]</w:t>
      </w:r>
    </w:p>
    <w:p>
      <w:pPr>
        <w:spacing w:before="40" w:after="40"/>
        <w:ind w:left="283"/>
      </w:pPr>
      <w:r>
        <w:rPr>
          <w:rFonts w:ascii="Calibri" w:hAnsi="Calibri"/>
          <w:b/>
          <w:color w:val="4A6B25"/>
          <w:sz w:val="20"/>
        </w:rPr>
        <w:t xml:space="preserve">2. </w:t>
      </w:r>
      <w:r>
        <w:rPr>
          <w:rFonts w:ascii="Calibri" w:hAnsi="Calibri"/>
          <w:b w:val="0"/>
          <w:color w:val="3A4A28"/>
          <w:sz w:val="20"/>
        </w:rPr>
        <w:t>Share count reduction of 12.73% YoY through aggressive buybacks at cheap valuations (6.24x forward earnings), directly accreting EPS and potentially closing the valuation discount to financial sector peers trading at 10-15x forward [3]</w:t>
      </w:r>
    </w:p>
    <w:p>
      <w:pPr>
        <w:spacing w:before="40" w:after="40"/>
        <w:ind w:left="283"/>
      </w:pPr>
      <w:r>
        <w:rPr>
          <w:rFonts w:ascii="Calibri" w:hAnsi="Calibri"/>
          <w:b/>
          <w:color w:val="4A6B25"/>
          <w:sz w:val="20"/>
        </w:rPr>
        <w:t xml:space="preserve">3. </w:t>
      </w:r>
      <w:r>
        <w:rPr>
          <w:rFonts w:ascii="Calibri" w:hAnsi="Calibri"/>
          <w:b w:val="0"/>
          <w:color w:val="3A4A28"/>
          <w:sz w:val="20"/>
        </w:rPr>
        <w:t>New CEO Marc Costantini's background in corporate development, digital solutions, and life reinsurance at Munich Re and Manulife could unlock product innovation and operational efficiency improvements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earnings volatility from variable investment income makes results unpredictable quarter-to-quarter — Q2 2026 net income of only $2M on $3.91B revenue demonstrates how investment portfolio marks can overwhelm operating earnings [1]</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declining rates would compress investment spreads on the $200B+ general account portfolio backing annuity guarantees, while legacy policyholder guarantees at higher rates create negative spread risk in a falling rate environment</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as Marc Costantini (December 2025) reshapes strategy at a company still establishing its identity post-AIG separation — limited operating track record as an independent company (IPO September 2022) provides no evidence of management consistency through market cycles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Corebridge's core business — manufacturing and distributing annuity and life insurance products — is protected by deep regulatory moats (state insurance regulation, capital requirements, actuarial reserve standards), complex product structures, and long-duration policyholder relationships that create massive switching costs [2]. AI cannot replace the regulatory capital, licenses, actuarial reserves, or policyholder trust required to sell and back life insurance and annuity guarantees. However, InsurTech startups represent an emerging competitive threat to distribution and customer acquisition, and AI could automate portions of underwriting, claims processing, and customer service that currently employ significant staff [2]. The annuity business specifically benefits from the complexity of its products (indexed strategies, guaranteed benefits) which are difficult for AI-first competitors to replicate credibly. AI Opportunity (0/1): Corebridge is investing in AI/ML and digital transformation at the Board level but has not shipped AI-powered products to customers or reported quantifiable AI-driven cost savings or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Corebridge Financial Q2 2026 Results — Revenue $3.91B, Net Income $2M, Core EPS +14% YoY ex-VIG, Institutional Markets LTM Sales $10.9B (+62%), Protected Growth Annuity Launch, August 2026</w:t>
      </w:r>
    </w:p>
    <w:p>
      <w:pPr>
        <w:spacing w:before="20" w:after="20"/>
        <w:ind w:left="170"/>
      </w:pPr>
      <w:r>
        <w:rPr>
          <w:rFonts w:ascii="Calibri" w:hAnsi="Calibri"/>
          <w:b/>
          <w:color w:val="4A6B25"/>
          <w:sz w:val="15"/>
        </w:rPr>
        <w:t xml:space="preserve">2. </w:t>
      </w:r>
      <w:r>
        <w:rPr>
          <w:rFonts w:ascii="Calibri" w:hAnsi="Calibri"/>
          <w:b w:val="0"/>
          <w:color w:val="3A4A28"/>
          <w:sz w:val="17"/>
        </w:rPr>
        <w:t>Corebridge Financial Leadership &amp; Strategy — CEO Marc Costantini (Dec 2025), Board AI/Digital Focus, Customer-Focused Culture, Top 5 Annuity Provider, Corebridge IR</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 CRBG Key Statistics: Forward P/E 6.24, PEG 0.37, ROE 7.14%, D/E 127%, Stock Price $31.95, Dividend Yield 3.07%,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