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CRBU</w:t>
      </w:r>
      <w:r>
        <w:rPr>
          <w:rFonts w:ascii="Calibri" w:hAnsi="Calibri"/>
          <w:b/>
          <w:color w:val="1A2010"/>
          <w:sz w:val="40"/>
        </w:rPr>
        <w:t xml:space="preserve">  Caribou Biosciences, Inc.</w:t>
      </w:r>
    </w:p>
    <w:p>
      <w:pPr>
        <w:spacing w:after="120"/>
      </w:pPr>
      <w:r>
        <w:rPr>
          <w:rFonts w:ascii="Calibri" w:hAnsi="Calibri"/>
          <w:b/>
          <w:color w:val="6E8450"/>
          <w:sz w:val="18"/>
        </w:rPr>
        <w:t>GROWTH SLEEVE · 2026-09-25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Caribou Biosciences is a clinical-stage CRISPR genome-editing biopharmaceutical company developing off-the-shelf, allogeneic CAR-T and NK cell therapies using its proprietary chRDNA technology platform. Lead candidate vispa-cel (anti-CD19) received FDA alignment on the pivotal ANTLER-3 trial design in 2026, while CB-011 (anti-BCMA) earned RMAT designation on a 92% overall response rate in multiple myeloma. Founded by CRISPR co-inventor Jennifer Doudna and headquartered in Berkeley, CA, the company had $113.8M in cash as of Q2 2026.</w:t>
      </w:r>
    </w:p>
    <w:p>
      <w:r>
        <w:rPr>
          <w:rFonts w:ascii="Calibri" w:hAnsi="Calibri"/>
          <w:b/>
          <w:color w:val="6E8450"/>
          <w:sz w:val="18"/>
        </w:rPr>
        <w:t>97 Employees · https://cariboubio.com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Caribou has advanced two allogeneic CAR-T candidates from discovery through Phase 1 clinical trials — vispa-cel achieved FDA alignment on the pivotal ANTLER-3 trial design, and CB-011 earned RMAT designation based on a 92% overall response rate in multiple myeloma [1]. For a 97-person company, this represents meaningful clinical execution against much larger competitors. AI Deployment (0/2): No evidence of AI-powered drug discovery or AI-driven operational savings; the company relies on its proprietary chRDNA CRISPR platform, which is a molecular biology tool rather than a computational AI approach. Market Share (1/2): Caribou is a recognized player in the allogeneic CAR-T space alongside Allogene and CRISPR Therapeutics. CB-011's RMAT designation with 92% ORR and Clear Street's projected $734M peak sales by 2040 suggest potential best-in-class positioning in allogeneic BCMA, but no commercial-stage leadership yet [1][2]. Product Pipeline (1/2): Vispa-cel advancing to pivotal ANTLER-3 trial with specific FDA alignment, and CB-011 in dose expansion with RMAT designation. Longer follow-up data for vispa-cel phase 1 and CB-011 dose expansion on 15+ patients expected in H2 2026 [1]. R&amp;D Intensity (0/1): R&amp;D spending is high relative to revenue (Q2 2026 R&amp;D of $18.9M vs $1.5M revenue) but standard for clinical-stage biotech, not differentiated versus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Caribou's mission to develop transformative CRISPR-based therapies for patients with devastating diseases is clear and connects the company's work to a larger purpose — democratizing access to cell therapy through off-the-shelf approaches [1]. However, this purpose statement is not distinctive from dozens of clinical-stage biotech peers pursuing similar therapeutic areas. Community Impact (0/2): No evidence of significant philanthropic programs or community investment beyond the inherent social value of developing cancer therapies. The company provides 8 hours of paid volunteer time annually and organized Bay shoreline cleanups, but these are minimal [3]. Employee Retention (1/2): Glassdoor reviews (3.5/5 stars, 57% recommend) reveal mixed cultural signals — some employees praise the scientific mission, while others cite cultural friction and leadership disconnection [4]. Founder-CEO Rachel Haurwitz's 15-year tenure provides leadership continuity. Insider Buying (0/2): No evidence of meaningful net insider buying by CEO Rachel Haurwitz or other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CRBU's balance sheet is the sole bright spot — D/E of 27.2% with $113.8M cash as of Q2 2026 provides an estimated 12-15 months of runway based on reduced quarterly burn of approximately $24M [1]. However, the company is deeply unprofitable with approximately -78% ROE, zero profit margin on $10M TTM revenue, and negative operating cash flow [5]. Revenue declined 43.8% YoY as licensing and third-party revenue fell from $2.7M to $1.5M in Q2 2026, reflecting lumpy collaboration milestone payments rather than sustainable product revenue. R&amp;D expenses decreased from $27.7M to $18.9M in Q2, suggesting active cost management to extend runway [1]. As a pre-revenue clinical-stage biotech, meaningful earnings and margins remain years away pending potential drug approvals. Forward P/E and PEG are not calculable for an unprofitable company. Liquidity barely passes: ~1.6M shares x $1.25 = $2.0M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Caribou demonstrates genuine commitment to its CRISPR-based mission through sustained R&amp;D investment despite a sub-$150M market cap and declining share price, but the company is too early-stage to have been tested through leadership transitions or sustained adversity. The founding vision of democratizing genome-edited cell therapies is distinctive, and the FDA pivotal trial alignment and RMAT designation validate scientific progress. However, cultural issues flagged by employees and the absence of competitive humility limit the infinite-game assessment.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Caribou's purpose — developing off-the-shelf CRISPR cell therapies to make cancer treatment accessible to more patients — is genuine, specific, and has guided consistent strategic decisions since the company's founding by CRISPR co-inventor Jennifer Doudna [1]. The vision of eliminating the need for patient-specific manufacturing addresses a real accessibility and cost gap in cancer immunotherapy. FDA alignment on the pivotal ANTLER-3 trial and CB-011's RMAT designation with 92% ORR validate that this cause is driving real clinical progress. However, the cause has not been tested through commercial-stage challenges, leadership transitions, or sustained financial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reveal a divided cultural picture. Some employees describe the environment as 'fantastic, fun and fulfilling' with strong scientific purpose, while others cite cultural friction and leadership disconnection [4]. The 3.5/5 Glassdoor rating with only 57% recommending the company suggests adequate but below-average trust for a mission-driven biotech. Founder-CEO Rachel Haurwitz's 15-year tenure since 2011 provides some leadership continuity.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Caribou's competitive language focuses heavily on its proprietary chRDNA advantage and differentiated approach rather than acknowledging or learning from rivals' strengths. No evidence was found of management referencing Allogene, CRISPR Therapeutics, or other allogeneic cell therapy competitors as worthy rivals whose strengths reveal Caribou's own weaknesses.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Caribou has expanded its therapeutic platform beyond the original anti-CD19 CAR-T candidate to include anti-BCMA (CB-011) targeting multiple myeloma and NK cell therapy programs, demonstrating willingness to broaden the platform [1]. The strategic cost reduction in Q2 2026 (R&amp;D down from $27.7M to $18.9M) shows adaptability in capital management. However, the company has pursued CRISPR-based allogeneic cell therapy since inception — no transformative reinvention of the business model has occurred.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Caribou continues investing in pivotal clinical development despite a $134M market cap, $1.25 share price (down from $3.54 52-week high), and approximately $113.8M in remaining cash [1][5]. The company maintained its clinical programs and advanced to pivotal trial alignment during the biotech funding drought. The reduction in R&amp;D spending from $27.7M to $18.9M in Q2 2026 reflects prudent resource management to preserve optionality. However, this perseverance is partly compelled by the clinical-stage business model rather than representing a discretionary courageous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Caribou Biosciences offers high-risk exposure to the next frontier of cancer immunotherapy through its proprietary chRDNA CRISPR platform, which enables off-the-shelf allogeneic cell therapies that could dramatically reduce cost and expand access relative to autologous approaches. Two significant clinical milestones in 2026 — FDA alignment on the pivotal ANTLER-3 trial for vispa-cel and RMAT designation for CB-011 based on a 92% overall response rate in multiple myeloma — validate the scientific platform [1]. Clear Street projects CB-011 peak sales of $734M by 2040, implying massive upside from the current $134M market cap [2]. With $113.8M in cash as of Q2 2026 and reduced quarterly burn of ~$24M, the company has approximately 12-15 months of runway to execute key data readouts.</w:t>
      </w:r>
    </w:p>
    <w:p>
      <w:pPr>
        <w:spacing w:after="120"/>
      </w:pPr>
      <w:r>
        <w:rPr>
          <w:rFonts w:ascii="Calibri" w:hAnsi="Calibri"/>
          <w:b w:val="0"/>
          <w:color w:val="3A4A28"/>
          <w:sz w:val="20"/>
        </w:rPr>
        <w:t>The bear case is substantial and binary. CRBU is a pre-revenue, deeply unprofitable clinical-stage biotech that burned $24.3M in Q2 2026 with only $113.8M in remaining cash, implying a capital raise is likely necessary to fund the vispa-cel pivotal trial [1][5]. The stock has declined to $1.25, near the 52-week low, reflecting market skepticism about capital structure sustainability. Revenue declined 43.8% YoY to $1.5M in Q2 2026 as licensing income faded. Binary clinical trial risk is extreme — a single negative data readout in ANTLER-3 or CB-011 expansion could wipe out remaining market value. No allogeneic CAR-T therapy has achieved FDA approval to date, raising questions about whether the entire modality will deliver on its promise. Glassdoor reviews flagging cultural dysfunction at a 97-person company represent organizational risk during a critical pivotal trial phase [4]. The Inspire Impact Score of -49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CB-011 dose expansion data readouts in multiple myeloma in H2 2026 on 15+ patients with minimum three months follow-up — with 92% ORR and RMAT designation, strong data could support $734M peak sales projections and trigger partnership or acquisition interest [1][2]</w:t>
      </w:r>
    </w:p>
    <w:p>
      <w:pPr>
        <w:spacing w:before="40" w:after="40"/>
        <w:ind w:left="283"/>
      </w:pPr>
      <w:r>
        <w:rPr>
          <w:rFonts w:ascii="Calibri" w:hAnsi="Calibri"/>
          <w:b/>
          <w:color w:val="4A6B25"/>
          <w:sz w:val="20"/>
        </w:rPr>
        <w:t xml:space="preserve">2. </w:t>
      </w:r>
      <w:r>
        <w:rPr>
          <w:rFonts w:ascii="Calibri" w:hAnsi="Calibri"/>
          <w:b w:val="0"/>
          <w:color w:val="3A4A28"/>
          <w:sz w:val="20"/>
        </w:rPr>
        <w:t>ANTLER-3 pivotal trial initiation and enrollment for vispa-cel in second-line large B cell lymphoma, with FDA-aligned trial design potentially enabling an accelerated approval pathway [1]</w:t>
      </w:r>
    </w:p>
    <w:p>
      <w:pPr>
        <w:spacing w:before="40" w:after="40"/>
        <w:ind w:left="283"/>
      </w:pPr>
      <w:r>
        <w:rPr>
          <w:rFonts w:ascii="Calibri" w:hAnsi="Calibri"/>
          <w:b/>
          <w:color w:val="4A6B25"/>
          <w:sz w:val="20"/>
        </w:rPr>
        <w:t xml:space="preserve">3. </w:t>
      </w:r>
      <w:r>
        <w:rPr>
          <w:rFonts w:ascii="Calibri" w:hAnsi="Calibri"/>
          <w:b w:val="0"/>
          <w:color w:val="3A4A28"/>
          <w:sz w:val="20"/>
        </w:rPr>
        <w:t>Strategic partnership or licensing deal for ex-U.S. rights could provide non-dilutive funding for the pivotal trial and validate the chRDNA platform's commercial potential at a premium to the current $134M market cap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approximately 12-15 months ($113.8M cash as of Q2 2026 at ~$24M quarterly burn) necessitates a dilutive capital raise or partnership before the pivotal trial generates data, likely pressuring the share price at sub-$1.50 levels [1][5]</w:t>
      </w:r>
    </w:p>
    <w:p>
      <w:pPr>
        <w:spacing w:before="40" w:after="40"/>
        <w:ind w:left="283"/>
      </w:pPr>
      <w:r>
        <w:rPr>
          <w:rFonts w:ascii="Calibri" w:hAnsi="Calibri"/>
          <w:b/>
          <w:color w:val="4A6B25"/>
          <w:sz w:val="20"/>
        </w:rPr>
        <w:t xml:space="preserve">2. </w:t>
      </w:r>
      <w:r>
        <w:rPr>
          <w:rFonts w:ascii="Calibri" w:hAnsi="Calibri"/>
          <w:b w:val="0"/>
          <w:color w:val="3A4A28"/>
          <w:sz w:val="20"/>
        </w:rPr>
        <w:t>Binary clinical risk — any safety signal, manufacturing failure, or lack of durable response in vispa-cel or CB-011 could be catastrophic for a single-platform company with no diversified revenue streams</w:t>
      </w:r>
    </w:p>
    <w:p>
      <w:pPr>
        <w:spacing w:before="40" w:after="40"/>
        <w:ind w:left="283"/>
      </w:pPr>
      <w:r>
        <w:rPr>
          <w:rFonts w:ascii="Calibri" w:hAnsi="Calibri"/>
          <w:b/>
          <w:color w:val="4A6B25"/>
          <w:sz w:val="20"/>
        </w:rPr>
        <w:t xml:space="preserve">3. </w:t>
      </w:r>
      <w:r>
        <w:rPr>
          <w:rFonts w:ascii="Calibri" w:hAnsi="Calibri"/>
          <w:b w:val="0"/>
          <w:color w:val="3A4A28"/>
          <w:sz w:val="20"/>
        </w:rPr>
        <w:t>No allogeneic CAR-T therapy has achieved FDA approval to date; regulatory pathway uncertainty for the entire modality persists regardless of individual clinical efficacy data, and the competitive landscape includes better-funded peers like Allogene and CRISPR Therapeutics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 PROTECTED): Caribou's core business of developing allogeneic CRISPR-edited cell therapies involves wet-lab biology, clinical trials, GMP manufacturing, and regulatory pathways that AI cannot substitute [1]. The physical-world nature of cell therapy production — harvesting donor cells, genome editing, quality control, and patient infusion — creates structural barriers to AI disruption. While AI tools may accelerate target discovery and clinical trial design at the margins, they cannot replace the fundamental biological R&amp;D, manufacturing complexity, or regulatory approval process. No analysts flag AI as a disruption risk to cell therapy companies. AI Opportunity (0/1): No AI-generated revenue; the chRDNA platform is a molecular biology tool, not a computational AI product. The company does not sell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Caribou Biosciences Q1-Q2 2026 Financial Results — Q2 net loss $24.3M, R&amp;D $18.9M, revenue $1.5M, cash $113.8M; Q1 cash $118.6M, FDA pivotal ANTLER-3 alignment, CB-011 RMAT designation 92% ORR, H2 2026 dose expansion data expected — May-August 2026</w:t>
      </w:r>
    </w:p>
    <w:p>
      <w:pPr>
        <w:spacing w:before="20" w:after="20"/>
        <w:ind w:left="170"/>
      </w:pPr>
      <w:r>
        <w:rPr>
          <w:rFonts w:ascii="Calibri" w:hAnsi="Calibri"/>
          <w:b/>
          <w:color w:val="4A6B25"/>
          <w:sz w:val="15"/>
        </w:rPr>
        <w:t xml:space="preserve">2. </w:t>
      </w:r>
      <w:r>
        <w:rPr>
          <w:rFonts w:ascii="Calibri" w:hAnsi="Calibri"/>
          <w:b w:val="0"/>
          <w:color w:val="3A4A28"/>
          <w:sz w:val="17"/>
        </w:rPr>
        <w:t>Clear Street Analyst Report — CB-011 Projected $734M Peak 2040 Sales, Caribou Biosciences Pipeline Analysis, 2026</w:t>
      </w:r>
    </w:p>
    <w:p>
      <w:pPr>
        <w:spacing w:before="20" w:after="20"/>
        <w:ind w:left="170"/>
      </w:pPr>
      <w:r>
        <w:rPr>
          <w:rFonts w:ascii="Calibri" w:hAnsi="Calibri"/>
          <w:b/>
          <w:color w:val="4A6B25"/>
          <w:sz w:val="15"/>
        </w:rPr>
        <w:t xml:space="preserve">3. </w:t>
      </w:r>
      <w:r>
        <w:rPr>
          <w:rFonts w:ascii="Calibri" w:hAnsi="Calibri"/>
          <w:b w:val="0"/>
          <w:color w:val="3A4A28"/>
          <w:sz w:val="17"/>
        </w:rPr>
        <w:t>Caribou Biosciences Corporate — CSR initiatives, 8 hours paid volunteer time, Bay shoreline cleanups, UN SDG alignment,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Glassdoor — Caribou Biosciences Employee Reviews, 3.5/5 Stars, 57% Recommend, Culture and Leadership Feedback,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CRBU Key Statistics, Market Cap $134M, Stock Price $1.25, D/E 27.17%, ROE -78.27%, Avg Volume 1.58M,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