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CRDF</w:t>
      </w:r>
      <w:r>
        <w:rPr>
          <w:rFonts w:ascii="Calibri" w:hAnsi="Calibri"/>
          <w:b/>
          <w:color w:val="1A2010"/>
          <w:sz w:val="40"/>
        </w:rPr>
        <w:t xml:space="preserve">  Cardiff Oncology, Inc.</w:t>
      </w:r>
    </w:p>
    <w:p>
      <w:pPr>
        <w:spacing w:after="120"/>
      </w:pPr>
      <w:r>
        <w:rPr>
          <w:rFonts w:ascii="Calibri" w:hAnsi="Calibri"/>
          <w:b/>
          <w:color w:val="6E8450"/>
          <w:sz w:val="18"/>
        </w:rPr>
        <w:t>GROWTH SLEEVE · 2026-09-26 · Inspire: 28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Cardiff Oncology, Inc. is a clinical-stage biotechnology company developing onvansertib, an oral PLK1 inhibitor, for RAS-mutated metastatic colorectal cancer and other solid tumors and hematologic malignancies. In the Phase 2 CRDF-004 trial (data cutoff January 22, 2026), the selected 30mg onvansertib + FOLFIRI/bevacizumab regimen achieved a confirmed objective response rate of 72.2% versus 43.2% for standard-of-care arms, meeting the trial's primary goal of selecting the dose and regimen for a Phase 3 registrational program. The company also amended its 2017 license agreement with Nerviano Medical Sciences in 2026, resolving a prior dispute over global onvansertib rights. Mani Mohindru, PhD transitioned from interim to permanent CEO in 2026, with Ajay Aggarwal joining as COO in April 2026. As of June 30, 2026, Cardiff held approximately $34.5M in cash plus a subsequent $10M registered direct offering, with runway projected into Q3 2027. Headquartered in San Diego, California.</w:t>
      </w:r>
    </w:p>
    <w:p>
      <w:r>
        <w:rPr>
          <w:rFonts w:ascii="Calibri" w:hAnsi="Calibri"/>
          <w:b/>
          <w:color w:val="6E8450"/>
          <w:sz w:val="18"/>
        </w:rPr>
        <w:t>31 Employees · https://www.cardiffoncology.com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Updated Phase 2 CRDF-004 data (January 22, 2026 cutoff) showed the selected onvansertib regimen achieving a confirmed objective response rate of 72.2% versus 43.2% across combined standard-of-care arms in RAS-mutated metastatic colorectal cancer, with the trial meeting its primary goal of selecting the efficacious and safe dose/regimen for the registrational program [1]. This is a significant, quantified clinical milestone opening a path to Phase 3, though the company remains pre-commercial with no approved product. AI Deployment (0/2): No evidence of AI deployment in drug discovery or operations was found. Market Share (0/2): Pre-commercial company with zero market share; onvansertib has not entered the market. Product Pipeline (1/2): Beyond the lead colorectal cancer indication, onvansertib is being explored in investigator-initiated trials for pancreatic cancer, small cell lung cancer, triple-negative breast cancer (40% ORR at RP2D in a Phase 1b/2 trial), and chronic myelomonocytic leukemia (ASH 2025 data showing ~40% preliminary efficacy), giving a reasonably specific multi-indication pipeline without firm commercial timelines [1]. R&amp;D Intensity (1/1): As a clinical-stage biotech with negligible product revenue, essentially all spending is R&amp;D-directed.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Cardiff's focus on RAS-mutated colorectal cancer patients — roughly 45% of mCRC patients, who have historically poor treatment options — is specific and scientifically grounded rather than generic 'cure cancer' messaging, though it remains unvalidated by any approved product or long execution history [1]. Community Impact (0/2): No evidence of charitable programs or community investment was found for this 31-person clinical-stage company. Employee Retention (0/2): The company underwent significant leadership turnover in 2026 (new permanent CEO, new COO in April, new CMO since June 2025), which is typical for a company transitioning to late-stage development but provides no positive retention signal. Insider Buying (2/2): CEO Mani Mohindru purchased 24,703 shares at $1.21 (June 18, 2026) and 34,364 shares plus matching warrants at $1.455 (July 14, 2026), for a combined ~$79,900 in personal open-market purchases with zero insider sales over the past year — a clear, specific signal of leadership conviction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the liquidity floor is no longer triggered as average daily volume of 1,199,895 shares times the $1.24 stock price yields approximately $1.49M in daily dollar volume, above the $1M threshold [1]. D/E of 1.72% is negligible (score capped at 1.0, 1x). ROE of -94.1% is deeply negative given ongoing clinical-stage losses (score 0.0, 2x weight). Revenue growth YoY of -14.1% reflects declining licensing royalty revenue, which is economically immaterial for this pre-commercial company (score 0.20, 1x). The 3-year revenue CAGR from a near-zero royalty base is not economically meaningful and is heavily discounted in this assessment despite calculating near the target range (2x weight). Forward P/E is negative (-2.32x) reflecting continued net losses and is scored at the floor (0.0) rather than through the standard formula, since a negative earnings multiple is not a favorable signal. Profit margin of 0.0% reflects the company's near-zero revenue base (score 0.0). Forward PEG is not available (excluded from calculation). Net cash used in operations was $24.1M for H1 2026, with cash plus the subsequent $10M raise projected to fund operations into Q3 2027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Cardiff Oncology remains a single-asset, 31-person clinical-stage biotech in the midst of a leadership transition, and Sinek's infinite-game framework is a difficult fit at this stage — there is no multi-decade track record, no established culture to assess, and the company's survival still depends on one molecule succeeding in Phase 3. The stronger Phase 2 data and continued CEO insider buying are genuine positive signals of conviction, but the company remains in a necessarily finite, binary-outcome phase: advance onvansertib to approval or cease to exist as an independent entity.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Cardiff's focus on RAS-mutated colorectal cancer, a genetically defined population with historically poor outcomes, is a genuine and service-oriented cause reinforced by strong new Phase 2 data (72.2% vs. 43.2% ORR) [1]. However, the cause remains entirely dependent on a single asset and has not been tested through leadership transitions or market cycles in the way Sinek's highest-scoring examples require, and the company underwent a CEO change within the past year.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Cardiff has cycled through a new permanent CEO, a new COO (April 2026), and a CMO who joined in mid-2025, representing substantial leadership churn for a 31-person organization within about a year [1][2]. No evidence of employee empowerment, tenure, or organizational stability was found to offset this turnover.</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Cardiff's leadership publicly referencing competitors in RAS-mutated colorectal cancer (including large pharmaceutical players developing competing therapies) as sources of learning or improvement rather than threats to be out-executed.</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Cardiff remains a single-asset company entirely dependent on onvansertib's clinical and regulatory success in its core indication, with early expansion into pancreatic, lung, breast cancer, and CMML programs still using the same molecule rather than a genuine strategic pivot. The 2026 resolution of the Nerviano licensing dispute removed an overhang but did not change the company's fundamental one-drug dependency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Mohindru's personal purchase of roughly $79,900 in Cardiff stock across two transactions in mid-2026, made while the company simultaneously needed to raise $10M in dilutive capital, demonstrates a degree of financial conviction and willingness to put personal capital behind the long-term thesis rather than optimizing only for short-term appearances [1][2]. This is a meaningful but singular data point rather than an established pattern of costly, principled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Cardiff Oncology's case rests on materially strengthened Phase 2 data for onvansertib: the January 22, 2026 cutoff of the CRDF-004 trial showed a confirmed objective response rate of 72.2% for the selected 30mg regimen versus 43.2% for combined standard-of-care arms in first-line RAS-mutated metastatic colorectal cancer, meeting the trial's primary goal of selecting the dose and regimen for a Phase 3 registrational program [1]. The 2026 resolution of the Nerviano Medical Sciences licensing dispute removed a significant legal overhang on the company's sole asset, and CEO Mani Mohindru's approximately $79,900 in open-market share purchases across two 2026 transactions, with zero insider sales over the past year, signals strong leadership conviction [2]. The stock's average daily dollar volume of roughly $1.49M now clears the IOWN liquidity floor, an improvement from prior periods when the stock was effectively untradeable.</w:t>
      </w:r>
    </w:p>
    <w:p>
      <w:pPr>
        <w:spacing w:after="120"/>
      </w:pPr>
      <w:r>
        <w:rPr>
          <w:rFonts w:ascii="Calibri" w:hAnsi="Calibri"/>
          <w:b w:val="0"/>
          <w:color w:val="3A4A28"/>
          <w:sz w:val="20"/>
        </w:rPr>
        <w:t>The bear case remains substantial for a single-asset clinical-stage biotech. Cardiff's cash position was approximately $34.5M as of June 30, 2026 (before a subsequent $10M registered direct offering), with net cash used in operations of $24.1M for H1 2026 alone; even with the new capital, a Phase 3 registrational trial will likely require hundreds of millions of dollars in additional funding, implying further dilution for existing shareholders [1]. ROE of -94.1% and a negative forward P/E reflect a company still years from profitability, and the recent leadership transition (new permanent CEO, new COO, new CMO within roughly a year) adds execution uncertainty at a critical inflection point. Single-asset clinical-stage biotechs historically fail Phase 3 or regulatory review at high rates, and any adverse trial, manufacturing, or regulatory development would be existential for the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Initiation of the Phase 3 registrational trial for onvansertib in first-line RAS-mutated metastatic colorectal cancer, using the FDA-informed dose and regimen selected from the January 2026 CRDF-004 data cutoff [1]</w:t>
      </w:r>
    </w:p>
    <w:p>
      <w:pPr>
        <w:spacing w:before="40" w:after="40"/>
        <w:ind w:left="283"/>
      </w:pPr>
      <w:r>
        <w:rPr>
          <w:rFonts w:ascii="Calibri" w:hAnsi="Calibri"/>
          <w:b/>
          <w:color w:val="4A6B25"/>
          <w:sz w:val="20"/>
        </w:rPr>
        <w:t xml:space="preserve">2. </w:t>
      </w:r>
      <w:r>
        <w:rPr>
          <w:rFonts w:ascii="Calibri" w:hAnsi="Calibri"/>
          <w:b w:val="0"/>
          <w:color w:val="3A4A28"/>
          <w:sz w:val="20"/>
        </w:rPr>
        <w:t>Potential strategic partnership or licensing agreement with a larger pharmaceutical company to fund Phase 3 development, which would validate the 72.2% ORR data and provide non-dilutive capital [1]</w:t>
      </w:r>
    </w:p>
    <w:p>
      <w:pPr>
        <w:spacing w:before="40" w:after="40"/>
        <w:ind w:left="283"/>
      </w:pPr>
      <w:r>
        <w:rPr>
          <w:rFonts w:ascii="Calibri" w:hAnsi="Calibri"/>
          <w:b/>
          <w:color w:val="4A6B25"/>
          <w:sz w:val="20"/>
        </w:rPr>
        <w:t xml:space="preserve">3. </w:t>
      </w:r>
      <w:r>
        <w:rPr>
          <w:rFonts w:ascii="Calibri" w:hAnsi="Calibri"/>
          <w:b w:val="0"/>
          <w:color w:val="3A4A28"/>
          <w:sz w:val="20"/>
        </w:rPr>
        <w:t>Continued positive readouts from investigator-initiated trials in additional indications (pancreatic cancer, small cell lung cancer, triple-negative breast cancer, CMML) that could expand onvansertib's addressable opportunity beyond colorectal cancer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into Q3 2027 will likely require a substantially larger, dilutive capital raise to fund a Phase 3 registrational trial, which typically costs hundreds of millions of dollars [1]</w:t>
      </w:r>
    </w:p>
    <w:p>
      <w:pPr>
        <w:spacing w:before="40" w:after="40"/>
        <w:ind w:left="283"/>
      </w:pPr>
      <w:r>
        <w:rPr>
          <w:rFonts w:ascii="Calibri" w:hAnsi="Calibri"/>
          <w:b/>
          <w:color w:val="4A6B25"/>
          <w:sz w:val="20"/>
        </w:rPr>
        <w:t xml:space="preserve">2. </w:t>
      </w:r>
      <w:r>
        <w:rPr>
          <w:rFonts w:ascii="Calibri" w:hAnsi="Calibri"/>
          <w:b w:val="0"/>
          <w:color w:val="3A4A28"/>
          <w:sz w:val="20"/>
        </w:rPr>
        <w:t>Single-asset dependency — Cardiff's entire value is tied to onvansertib's continued clinical and regulatory success; historical Phase 3 failure rates for oncology assets are high, and any adverse safety, efficacy, or manufacturing finding would be existential [1]</w:t>
      </w:r>
    </w:p>
    <w:p>
      <w:pPr>
        <w:spacing w:before="40" w:after="40"/>
        <w:ind w:left="283"/>
      </w:pPr>
      <w:r>
        <w:rPr>
          <w:rFonts w:ascii="Calibri" w:hAnsi="Calibri"/>
          <w:b/>
          <w:color w:val="4A6B25"/>
          <w:sz w:val="20"/>
        </w:rPr>
        <w:t xml:space="preserve">3. </w:t>
      </w:r>
      <w:r>
        <w:rPr>
          <w:rFonts w:ascii="Calibri" w:hAnsi="Calibri"/>
          <w:b w:val="0"/>
          <w:color w:val="3A4A28"/>
          <w:sz w:val="20"/>
        </w:rPr>
        <w:t>Recent leadership turnover (new permanent CEO, COO, and CMO within about a year) creates execution risk at the critical Phase 2-to-Phase 3 transition point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Drug development requires physical clinical trials in human patients, FDA regulatory review, and biological validation of mechanism — AI structurally cannot substitute for onvansertib itself or the multi-year regulatory approval pathway [1]. The updated Phase 2 data (72.2% vs. 43.2% ORR) and the FDA-aligned dose selection for Phase 3 reflect a physical, evidence-based process that AI cannot replace or accelerate away. The score is held at PROTECTED rather than IMMUNE because AI-driven drug discovery platforms are increasingly used by larger competitors to identify and advance competing PLK1 or RAS-pathway therapies faster, a modest but real competitive risk for a single-asset company. AI Opportunity (0/1): No AI-related revenue or products; Cardiff is a traditional small-molecule drug developer.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Materials Efficiency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Cardiff Oncology Q1/Q2 2026 Results, CRDF-004 Updated Phase 2 Data (January 2026 cutoff), Nerviano License Amendment — SEC Form 8-K/10-Q, BioSpace, StockTitan, 2026</w:t>
      </w:r>
    </w:p>
    <w:p>
      <w:pPr>
        <w:spacing w:before="20" w:after="20"/>
        <w:ind w:left="170"/>
      </w:pPr>
      <w:r>
        <w:rPr>
          <w:rFonts w:ascii="Calibri" w:hAnsi="Calibri"/>
          <w:b/>
          <w:color w:val="4A6B25"/>
          <w:sz w:val="15"/>
        </w:rPr>
        <w:t xml:space="preserve">2. </w:t>
      </w:r>
      <w:r>
        <w:rPr>
          <w:rFonts w:ascii="Calibri" w:hAnsi="Calibri"/>
          <w:b w:val="0"/>
          <w:color w:val="3A4A28"/>
          <w:sz w:val="17"/>
        </w:rPr>
        <w:t>Cardiff Oncology CEO Insider Buying (Form 4), Leadership Changes — GuruFocus, Investing.com, TipRanks, GlobeNewswire,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StockAnalysis.com — CRDF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