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CRDO</w:t>
      </w:r>
      <w:r>
        <w:rPr>
          <w:rFonts w:ascii="Calibri" w:hAnsi="Calibri"/>
          <w:b/>
          <w:color w:val="1A2010"/>
          <w:sz w:val="40"/>
        </w:rPr>
        <w:t xml:space="preserve">  Credo Technology Group Holding Ltd</w:t>
      </w:r>
    </w:p>
    <w:p>
      <w:pPr>
        <w:spacing w:after="120"/>
      </w:pPr>
      <w:r>
        <w:rPr>
          <w:rFonts w:ascii="Calibri" w:hAnsi="Calibri"/>
          <w:b/>
          <w:color w:val="6E8450"/>
          <w:sz w:val="18"/>
        </w:rPr>
        <w:t>GROWTH SLEEVE · 2026-08-31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Cayman Islands</w:t>
      </w:r>
    </w:p>
    <w:p>
      <w:pPr>
        <w:spacing w:after="80"/>
      </w:pPr>
      <w:r>
        <w:rPr>
          <w:rFonts w:ascii="Calibri" w:hAnsi="Calibri"/>
          <w:b w:val="0"/>
          <w:color w:val="3A4A28"/>
          <w:sz w:val="20"/>
        </w:rPr>
        <w:t>Credo Technology provides high-speed connectivity solutions for AI, cloud, and hyperscale data center networks. The company designs active electrical cables (AECs), optical PAM4 DSPs, silicon-photonic PICs, SerDes chiplets, line card PHYs, and SerDes IP licensing. In FY2026 (ended May 2, 2026), revenue tripled to $1.3B from $437M, with non-GAAP net income of $662M and gross margins of 68%, driven by surging AI data center demand for high-speed interconnects. Q1 FY2027 guided at $465-475M with full-year FY2027 projected at &gt;80% YoY growth. At FMS 2026, Credo showcased its OmniConnect Weaver AI memory interconnect (Best of Show finalist) and Toucan PCIe 6.0-capable retimer. Market cap approximately $43B.</w:t>
      </w:r>
    </w:p>
    <w:p>
      <w:r>
        <w:rPr>
          <w:rFonts w:ascii="Calibri" w:hAnsi="Calibri"/>
          <w:b/>
          <w:color w:val="6E8450"/>
          <w:sz w:val="18"/>
        </w:rPr>
        <w:t>622 Employees · https://credosemi.com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Credo has executed one of the most impressive transformations in semiconductors — CEO Bill Brennan's decision to pivot from pure SerDes IP licensing to system-level hardware created the active electrical cable category, and FY2026 revenue tripled to $1.3B from $437M in FY2025, with non-GAAP net income increasing fivefold to $662M [1]. This is a textbook transformative pivot that redefined the company and created a new product category. AI Deployment (2/2): Credo's entire product line — HiWire AECs, optical PAM4 DSPs, and SerDes chiplets — ships into AI infrastructure at scale, with FY2026 revenue of $1.3B almost entirely driven by hyperscaler AI data center demand [1]. Q4 FY2026 revenue of $437M alone exceeded all of FY2025. Market Share (2/2): Credo is the pioneer and leading provider of active electrical cables for AI interconnects, having created the AEC category. Q4 FY2026 EPS of $1.16 beat consensus by 18.37%, confirming continued market share gains in the 800G-to-1.6T connectivity transition [1][3]. Product Pipeline (1/2): OmniConnect Weaver AI memory interconnect and Toucan PCIe 6.0-capable retimer were showcased at FMS 2026 (Best of Show finalist in two categories), and the optical portfolio (ZeroFlap optics, silicon-photonic PICs, optical DSPs) is guided to exceed $600M in FY2027 [2][3]. However, the product portfolio remains narrower than larger competitors like Broadcom. R&amp;D Intensity (1/1): CTO Cheng Binn holds dozens of SerDes design patents, and Credo maintains an engineering-heavy culture with concentrated R&amp;D investment relative to revenue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Credo's mission to 'transform connectivity at scale through fast, reliable, and energy-efficient system solutions' clearly identifies what the company does and connects it to energy efficiency [3]. The mission is specific and thoughtful, but doesn't articulate a deeper transformative purpose beyond the commercial offering. Community Impact (0/2): Credo's 2025 ESG and GHG reports highlight energy-efficient connectivity solutions and independently verified emissions data, but no specific charitable giving, foundation activity, or community investment with measurable dollar amounts was identified [4]. Transparent ESG reporting is positive but distinct from community philanthropy. Employee Retention (1/2): CEO Brennan's 11.58-year tenure and founding CTO Cheng's continued leadership demonstrate strong retention of key technical talent [3]. The company maintains 622 employees with an engineering-heavy culture, though no independent employee sentiment data was found to verify broader retention metrics. Insider Buying (0/2): CEO Brennan has been a consistent net seller — 123 share dispositions and zero purchases over a recent 3-month period, including cumulative sales exceeding $20M through 10b5-1 plans [5]. This is persistent net insider selling.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Credo's financial profile is exceptional across nearly every dimension. D/E of approximately 1% reflects a virtually debt-free balance sheet with $1.44B in cash against $25.45M debt [1]. ROE of 34.41% far exceeds the 15% target (2x weight), and FY2026 revenue growth of 206% YoY (tripling) scores maximum alongside an estimated 5-year CAGR of approximately 89% (2x weight) [1]. GAAP profit margin of approximately 35% demonstrates strong pricing power in specialized connectivity silicon with 68% gross margins. The primary drags are the Forward P/E of 40.0x (above 20x target, scoring 0.50) and PEG ratio of 1.02 (marginally above the 1.0 target, scoring 0.99 with 2x weight). The 19-analyst Strong Buy consensus with a $283.23 target reflects confidence in the growth trajectory [5]. Liquidity floor easily cleared: approximately 3.5M avg daily volume at approximately $233 yields over $800M in daily dollar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Credo demonstrates strong infinite game characteristics for a relatively young public company. The strategic pivot from IP licensing to hardware products was a transformative act of existential flexibility, and the engineering-centric culture with long-tenured founding leadership suggests a company building for endurance. The focus on technical differentiation over competitive destruction reflects an infinite mindset. However, with only approximately 15 years of history and heavy dependence on a single demand cycle (AI), Credo has not yet been tested through adversity or leadership transition.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Credo's purpose of transforming connectivity at scale through energy-efficient, high-speed solutions is genuine and distinctive within semiconductors [3]. The company's products directly enable AI progress and reduce data center power consumption — OmniConnect Weaver specifically addresses the AI memory bandwidth bottleneck, connecting their work to advancing computing capability [2]. CEO Brennan's 11.58-year tenure and the founding CTO's continued leadership demonstrate genuine commitment. However, the cause hasn't been tested through a major downturn or leadership transition — it is partially lived but not yet validated by decades of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Credo's engineering-heavy culture with 622 employees maintains the intimate, high-trust environment of a growth-stage semiconductor company [3]. The founding technical team, including CTO Cheng Binn with dozens of patents, remains in place, and the company has attracted experienced semiconductor veterans from Marvell and Texas Instruments. However, no independent employee satisfaction data was found, and the company hasn't been tested through organizational stress such as layoffs or a revenue downturn.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Credo competes against semiconductor giants like Broadcom and Marvell in connectivity silicon, and management's language consistently focuses on technical differentiation — lower power, higher performance, energy efficiency — rather than defeating competitors [3]. The company's innovation in AEC technology was driven by solving customer connectivity problems, not by competitive destruction. Recent partnerships with Rebellions and DustPhotonics demonstrate openness to collaboration rather than zero-sum competitive thinking [2].</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CEO Brennan's decision to pivot Credo from a pure SerDes IP licensing business to a system-level hardware company producing AECs, chiplets, and optical DSPs was transformative — it fundamentally redefined the company's business model and created a new product category [3]. This pivot was driven by strategic vision (connectivity would become a system-level challenge requiring integrated solutions), not desperation. FY2026's revenue tripling to $1.3B validates the bet decisively. The current expansion from copper to optical (silicon photonics) represents a second major strategic evolution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pivot from high-margin IP licensing to capital-intensive hardware development required courage — Brennan bet the company's future on a product category (AECs) that didn't exist yet, accepting near-term margin pressure for long-term market creation [3]. The company maintained heavy R&amp;D investment through years of modest revenue ($106M-$437M), demonstrating willingness to invest ahead of demand. The CEO was awarded an ambitious performance PSU with targets aligned to long-term company goals [1]. However, with FY2026 generating $1.3B revenue and $662M net income, current decisions carry minimal financial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Credo Technology is the premier pure-play on AI data center connectivity, having pioneered the active electrical cable category that has become essential infrastructure for GPU cluster buildouts. FY2026 revenue tripled to $1.3B with non-GAAP net income of $662M and operating margins of 49.6% [1]. Q4 FY2026 EPS of $1.16 beat consensus by 18.37%, and Q1 FY2027 guidance of $465-475M with full-year &gt;80% growth projects FY2027 revenue approaching $2.4B [1]. The optical product portfolio (ZeroFlap optics, silicon-photonic PICs, optical DSPs) is guided to exceed $600M in FY2027, providing a second major growth vector beyond copper AECs. The OmniConnect Weaver AI memory interconnect addresses an emerging bottleneck in AI training infrastructure [2]. D/E of 1% with $1.44B cash provides exceptional balance sheet strength, and the 19-analyst Strong Buy consensus with a $283.23 target (+22% upside) reflects broad institutional confidence [5].</w:t>
      </w:r>
    </w:p>
    <w:p>
      <w:pPr>
        <w:spacing w:after="120"/>
      </w:pPr>
      <w:r>
        <w:rPr>
          <w:rFonts w:ascii="Calibri" w:hAnsi="Calibri"/>
          <w:b w:val="0"/>
          <w:color w:val="3A4A28"/>
          <w:sz w:val="20"/>
        </w:rPr>
        <w:t>The bear case centers on valuation, customer concentration, and cyclical risk. At approximately 98x trailing P/E and 40x forward P/E, the stock is priced for sustained hypergrowth — any execution miss, AI capex slowdown, or deceleration below the &gt;80% FY2027 guidance could trigger severe multiple compression [5]. CEO Brennan's persistent insider selling ($20M+ in cumulative sales, 123 dispositions with zero purchases) raises alignment questions despite the 10b5-1 plan structure [5]. Revenue is heavily concentrated among a small number of hyperscaler customers, making the company vulnerable to a single design-out or supplier shift — particularly as Broadcom and Marvell invest aggressively in the AEC and high-speed connectivity market with greater R&amp;D resources. A Seeking Alpha analyst issued a 'Get Out While You Still Can' call, flagging overvaluation risk [4]. A slowdown in hyperscaler AI capex — whether from ROI reassessment, macroeconomic headwinds, or export restrictions — would directly impact Credo's order book given near-total AI exposure. The PEG ratio has increased from 0.49 to 1.02, reflecting expectations that growth will moderate beyond FY2027.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Q1 FY2027 guidance of $465-475M with full-year &gt;80% YoY growth projects FY2027 revenue approaching $2.4B, driven by the 1.6T networking transition requiring next-generation AECs, optical DSPs, and silicon-photonic PICs [1]</w:t>
      </w:r>
    </w:p>
    <w:p>
      <w:pPr>
        <w:spacing w:before="40" w:after="40"/>
        <w:ind w:left="283"/>
      </w:pPr>
      <w:r>
        <w:rPr>
          <w:rFonts w:ascii="Calibri" w:hAnsi="Calibri"/>
          <w:b/>
          <w:color w:val="4A6B25"/>
          <w:sz w:val="20"/>
        </w:rPr>
        <w:t xml:space="preserve">2. </w:t>
      </w:r>
      <w:r>
        <w:rPr>
          <w:rFonts w:ascii="Calibri" w:hAnsi="Calibri"/>
          <w:b w:val="0"/>
          <w:color w:val="3A4A28"/>
          <w:sz w:val="20"/>
        </w:rPr>
        <w:t>Optical product portfolio guided to exceed $600M in FY2027 (roughly half of absolute dollar growth), with ZeroFlap optics, OmniConnect Weaver memory interconnect, and Toucan PCIe 6.0 retimer expanding Credo's addressable market [2]</w:t>
      </w:r>
    </w:p>
    <w:p>
      <w:pPr>
        <w:spacing w:before="40" w:after="40"/>
        <w:ind w:left="283"/>
      </w:pPr>
      <w:r>
        <w:rPr>
          <w:rFonts w:ascii="Calibri" w:hAnsi="Calibri"/>
          <w:b/>
          <w:color w:val="4A6B25"/>
          <w:sz w:val="20"/>
        </w:rPr>
        <w:t xml:space="preserve">3. </w:t>
      </w:r>
      <w:r>
        <w:rPr>
          <w:rFonts w:ascii="Calibri" w:hAnsi="Calibri"/>
          <w:b w:val="0"/>
          <w:color w:val="3A4A28"/>
          <w:sz w:val="20"/>
        </w:rPr>
        <w:t>Continued hyperscaler AI infrastructure buildout with Microsoft, Google, Meta, and Amazon collectively spending $200B+ annually on data centers, driving sustained demand for high-speed physical layer connectivity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approximately 98x trailing P/E and 40x forward P/E with PEG ratio expanding to 1.02 — Q4 FY2026 results beat estimates but inline FY2027 guidance triggered a post-earnings sell-off, demonstrating vulnerability to anything short of blowout expectations [1][5]</w:t>
      </w:r>
    </w:p>
    <w:p>
      <w:pPr>
        <w:spacing w:before="40" w:after="40"/>
        <w:ind w:left="283"/>
      </w:pPr>
      <w:r>
        <w:rPr>
          <w:rFonts w:ascii="Calibri" w:hAnsi="Calibri"/>
          <w:b/>
          <w:color w:val="4A6B25"/>
          <w:sz w:val="20"/>
        </w:rPr>
        <w:t xml:space="preserve">2. </w:t>
      </w:r>
      <w:r>
        <w:rPr>
          <w:rFonts w:ascii="Calibri" w:hAnsi="Calibri"/>
          <w:b w:val="0"/>
          <w:color w:val="3A4A28"/>
          <w:sz w:val="20"/>
        </w:rPr>
        <w:t>Customer concentration risk — a small number of hyperscaler accounts generate the majority of revenue, and a single design-out or supplier shift to Broadcom or Marvell could cause a significant revenue decline, particularly as larger competitors invest aggressively in AEC alternatives [1]</w:t>
      </w:r>
    </w:p>
    <w:p>
      <w:pPr>
        <w:spacing w:before="40" w:after="40"/>
        <w:ind w:left="283"/>
      </w:pPr>
      <w:r>
        <w:rPr>
          <w:rFonts w:ascii="Calibri" w:hAnsi="Calibri"/>
          <w:b/>
          <w:color w:val="4A6B25"/>
          <w:sz w:val="20"/>
        </w:rPr>
        <w:t xml:space="preserve">3. </w:t>
      </w:r>
      <w:r>
        <w:rPr>
          <w:rFonts w:ascii="Calibri" w:hAnsi="Calibri"/>
          <w:b w:val="0"/>
          <w:color w:val="3A4A28"/>
          <w:sz w:val="20"/>
        </w:rPr>
        <w:t>CEO insider selling — 123 share dispositions totaling $20M+ with zero purchases, combined with a bearish Seeking Alpha 'Get Out' thesis and Cayman Islands domicile governance complexity, raise alignment and transparency concerns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Credo IS AI infrastructure — the company's AECs, optical DSPs, silicon-photonic PICs, and SerDes chiplets are the physical interconnect layer that enables AI clusters to communicate at scale [1][3]. AI cannot disrupt Credo because AI data centers structurally cannot function without high-speed connectivity between GPUs, switches, and storage. Every expansion of AI compute directly increases demand for Credo's products. No analyst has identified AI as a disruption risk; AI IS Credo's primary demand driver. The company is positioned at the epicenter of the 800G-to-1.6T networking transition, with the new OmniConnect Weaver addressing AI memory interconnect, an emerging bottleneck [2]. AI Opportunity (1/1): Essentially all of Credo's $1.3B FY2026 revenue is AI-driven, with hyperscaler AI infrastructure buildouts as the primary demand driver. Revenue tripled specifically because of AI data center connectivity demand, and FY2027 guidance of &gt;80% growth confirms the AI revenue trajectory is accelerating, with optical products alone forecast to exceed $600M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Credo Technology Q4 and Full-Year FY2026 Earnings Release — $1.3B revenue (tripled), $662M non-GAAP net income, Q1 FY2027 guidance $465-475M, FY2027 &gt;80% growth, optical &gt;$600M, June 2026</w:t>
      </w:r>
    </w:p>
    <w:p>
      <w:pPr>
        <w:spacing w:before="20" w:after="20"/>
        <w:ind w:left="170"/>
      </w:pPr>
      <w:r>
        <w:rPr>
          <w:rFonts w:ascii="Calibri" w:hAnsi="Calibri"/>
          <w:b/>
          <w:color w:val="4A6B25"/>
          <w:sz w:val="15"/>
        </w:rPr>
        <w:t xml:space="preserve">2. </w:t>
      </w:r>
      <w:r>
        <w:rPr>
          <w:rFonts w:ascii="Calibri" w:hAnsi="Calibri"/>
          <w:b w:val="0"/>
          <w:color w:val="3A4A28"/>
          <w:sz w:val="17"/>
        </w:rPr>
        <w:t>Credo Technology FMS 2026 — OmniConnect Weaver AI memory interconnect (Best of Show finalist), Toucan PCIe 6.0 retimer, partnerships with Rebellions and DustPhotonics, August 2026</w:t>
      </w:r>
    </w:p>
    <w:p>
      <w:pPr>
        <w:spacing w:before="20" w:after="20"/>
        <w:ind w:left="170"/>
      </w:pPr>
      <w:r>
        <w:rPr>
          <w:rFonts w:ascii="Calibri" w:hAnsi="Calibri"/>
          <w:b/>
          <w:color w:val="4A6B25"/>
          <w:sz w:val="15"/>
        </w:rPr>
        <w:t xml:space="preserve">3. </w:t>
      </w:r>
      <w:r>
        <w:rPr>
          <w:rFonts w:ascii="Calibri" w:hAnsi="Calibri"/>
          <w:b w:val="0"/>
          <w:color w:val="3A4A28"/>
          <w:sz w:val="17"/>
        </w:rPr>
        <w:t>Credo Technology Leadership and Company Profile — CEO Bill Brennan (11.58yr tenure), CTO Cheng Binn (dozens of patents), 622 employees, engineering culture, credosemi.com</w:t>
      </w:r>
    </w:p>
    <w:p>
      <w:pPr>
        <w:spacing w:before="20" w:after="20"/>
        <w:ind w:left="170"/>
      </w:pPr>
      <w:r>
        <w:rPr>
          <w:rFonts w:ascii="Calibri" w:hAnsi="Calibri"/>
          <w:b/>
          <w:color w:val="4A6B25"/>
          <w:sz w:val="15"/>
        </w:rPr>
        <w:t xml:space="preserve">4. </w:t>
      </w:r>
      <w:r>
        <w:rPr>
          <w:rFonts w:ascii="Calibri" w:hAnsi="Calibri"/>
          <w:b w:val="0"/>
          <w:color w:val="3A4A28"/>
          <w:sz w:val="17"/>
        </w:rPr>
        <w:t>Credo Technology ESG and Market Commentary — 2025 ESG/GHG reports with verified emissions, Seeking Alpha bearish thesis,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Investing.com — CRDO Key Statistics: Forward PE 40.0x, Trailing PE 98.01x, PEG 1.02, D/E 1%, ROE 34.41%, 19 analysts Strong Buy target $283.23,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