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CREX</w:t>
      </w:r>
      <w:r>
        <w:rPr>
          <w:rFonts w:ascii="Calibri" w:hAnsi="Calibri"/>
          <w:b/>
          <w:color w:val="1A2010"/>
          <w:sz w:val="40"/>
        </w:rPr>
        <w:t xml:space="preserve">  Creative Realities, Inc.</w:t>
      </w:r>
    </w:p>
    <w:p>
      <w:pPr>
        <w:spacing w:after="120"/>
      </w:pPr>
      <w:r>
        <w:rPr>
          <w:rFonts w:ascii="Calibri" w:hAnsi="Calibri"/>
          <w:b/>
          <w:color w:val="6E8450"/>
          <w:sz w:val="18"/>
        </w:rPr>
        <w:t>GROWTH SLEEVE · 2026-09-02 · Inspire: 49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Electronic Equipment &amp; Instruments · NASDAQ · United States</w:t>
      </w:r>
    </w:p>
    <w:p>
      <w:pPr>
        <w:spacing w:after="80"/>
      </w:pPr>
      <w:r>
        <w:rPr>
          <w:rFonts w:ascii="Calibri" w:hAnsi="Calibri"/>
          <w:b w:val="0"/>
          <w:color w:val="3A4A28"/>
          <w:sz w:val="20"/>
        </w:rPr>
        <w:t>Creative Realities provides digital marketing technology and media solutions to retail companies and organizations worldwide, including digital signage hardware, software, content management systems, and managed services. The company acquired CDM in 2025 to expand its digital media network capabilities. Q2 2026 revenue surged 65% YoY to $21.5M driven by CDM integration and major client wins including Albertsons and the Tennessee Titans. Market cap is approximately $40M with the stock trading at $3.40.</w:t>
      </w:r>
    </w:p>
    <w:p>
      <w:r>
        <w:rPr>
          <w:rFonts w:ascii="Calibri" w:hAnsi="Calibri"/>
          <w:b/>
          <w:color w:val="6E8450"/>
          <w:sz w:val="18"/>
        </w:rPr>
        <w:t>400 Employees · https://cri.com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Creative Realities' CDM acquisition was a meaningful strategic move that has driven 65% revenue growth in Q2 2026, adding digital media network capabilities and major retail clients [1]. However, the company remains a small player ($40M market cap) executing an acquisition-driven growth strategy rather than building genuinely innovative technology. AI Deployment (0/2): The company has announced a pivot toward a 'software-first platform business powered by data, analytics, and AI' under new CXO Jackie Walker, but no AI products are shipping and no quantified AI-driven savings or revenue have been reported [2]. Market Share (0/2): Creative Realities is a micro-cap participant in the fragmented digital signage and retail media market, with ~$80M annual revenue run-rate versus multi-billion-dollar industry leaders like Samsung, LG, and Scala. Product Pipeline (1/2): Major deployments with Albertsons and the Tennessee Titans provide near-term revenue pipeline, and management expects record revenue in Q3 and Q4 2026, though the SaaS platform pivot remains in early stages without specific product launch dates [1]. R&amp;D Intensity (0/1): No specific R&amp;D spending data available; as a small systems integrator transitioning to software, R&amp;D investment relative to revenue is not documented.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Creative Realities' stated purpose focuses on delivering digital transformation and engaging experiences for retail environments — generic and interchangeable with any digital signage competitor, lacking articulation of a larger purpose beyond business execution. Community Impact (0/2): No evidence of charitable programs, foundation activity, or distinctive community investment for a company of this size. Employee Retention (0/2): No retention or tenure data available; the company has undergone significant leadership turnover with new CXO (March 2026), CRO (November 2025), and CFO appointments, suggesting organizational churn typical of a company in strategic transition [2]. Insider Buying (1/2): CFO Tamra Koshewa purchased 28,571 shares on June 30, 2026, and insiders own 17.11% of the company — with two insider buys versus one sell in the past year, there is modest evidence of management conviction at current prices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43,360 shares at $3.40 per share yields daily dollar volume of approximately $147,000, which is below the $1,000,000 IOWN liquidity floor — Infrastructure score is automatically 0 regardless of other metrics [4]. For context, the underlying metrics are mixed: D/E of 109% is above the 70% target, ROE is deeply negative at -36.46%, and net profit margin of -6.9% reflects the company's current unprofitability [4]. Revenue growth of 65% YoY is strong but acquisition-driven (CDM), and the forward P/E of 7.26x (based on projected future profitability) would be attractive if achieved. The company has only $314K in cash against $24M in debt, creating a fragile balance sheet that may require dilutive capital raises.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Creative Realities exhibits a finite game mindset typical of a micro-cap company in survival and growth mode. The company lacks an articulated Just Cause beyond business execution, has undergone significant leadership turnover, and is pursuing an acquisition-driven strategy that prioritizes near-term revenue growth over building enduring capability. The CDM acquisition and SaaS platform pivot show strategic ambition but are too recent to assess whether they reflect genuine long-term thinking or opportunistic deal-making.</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No distinctive purpose articulated beyond growing the digital signage and retail media business. Creative Realities exists to provide digital marketing technology solutions — a functional description, not a vision of a better future. The company's investor presentations focus on revenue synergies, EBITDA targets, and market opportunity sizing rather than articulating why this work matters beyond financial returns.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company has undergone rapid leadership changes — new CXO Jackie Walker (March 2026), new CRO Dan McAllister (November 2025), and a relatively new CFO — suggesting organizational instability [2]. For a company of ~400 employees, this level of C-suite turnover disrupts whatever trust exists in the organization. No data on employee tenure, voluntary turnover, or organizational culture beyond the leadership changes.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Creative Realities' competitive positioning focuses on winning retail digital signage contracts against other small vendors rather than learning from category leaders like Samsung or industry platforms; the language is transactional rather than improvement-oriented.</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company is attempting a pivot from pure hardware/installation services to a software-first platform business powered by data and AI, led by CXO Jackie Walker's vision for a 'next generation SaaS platform' [2]. This represents a meaningful business model evolution from project-based revenue to recurring software revenue. However, the pivot is in its earliest stages with no products shipped, and it may be driven by the recognition that hardware-only business models are commoditizing rather than by a guiding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CDM acquisition was a bold move for a micro-cap company — Creative Realities roughly doubled its revenue base through this deal while accepting integration risk and increased debt [1]. Management's commitment to record revenue in the second half of 2026, backed by major client deployments (Albertsons, Tennessee Titans), demonstrates willingness to take on execution risk for growth. However, this is one example, and the acquisition was primarily growth-seeking rather than a principled long-term bet.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Creative Realities at a forward P/E of 7.26x (based on projected future profitability) is an acquisition-driven micro-cap growth story in the digital signage and retail media space — Q2 2026 revenue surged 65% YoY to $21.5M driven by CDM integration, and management expects record revenue in Q3 and Q4 2026 supported by Albertsons and Tennessee Titans deployments [1]. Adjusted EBITDA more than doubled to $2.0M, and the company has realized 75% of its $10M annualized CDM synergy target, suggesting the integration is tracking ahead of plan. The pivot toward a software-first platform under CXO Jackie Walker could unlock higher-margin recurring revenue if executed [2]. Insider buying by the CFO and 17.11% insider ownership signal management conviction [3].</w:t>
      </w:r>
    </w:p>
    <w:p>
      <w:pPr>
        <w:spacing w:after="120"/>
      </w:pPr>
      <w:r>
        <w:rPr>
          <w:rFonts w:ascii="Calibri" w:hAnsi="Calibri"/>
          <w:b w:val="0"/>
          <w:color w:val="3A4A28"/>
          <w:sz w:val="20"/>
        </w:rPr>
        <w:t>The bear case is severe and centers on illiquidity, unprofitability, and balance sheet fragility. Average daily dollar volume of only ~$147K makes CREX essentially untradeable for institutional investors, triggering the IOWN liquidity floor and resulting in an Infrastructure score of 0 [4]. The company remains unprofitable with -6.9% net margin, -36.46% ROE, and only $314K in cash against $24M in debt — any revenue shortfall or delayed client payments could force a dilutive capital raise that would destroy shareholder value at these depressed levels [4]. The 65% revenue growth is entirely acquisition-driven (CDM) rather than organic, and management must demonstrate that the combined entity can achieve profitability while simultaneously investing in a SaaS platform transformation. The stock has declined from higher levels despite the revenue growth, and the 3 analyst 'Strong Buy' consensus at an $8.83 target suggests either significant upside potential or sell-side optimism untethered from the company's financial reality. The Inspire Impact Score of 49 (ALIGNED) is a positive but immaterial given the fundamental risks.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Record revenue expected in Q3 and Q4 2026 driven by Albertsons digital media network deployment and Tennessee Titans stadium digital signage, which could demonstrate profitability at scale and attract institutional interest [1]</w:t>
      </w:r>
    </w:p>
    <w:p>
      <w:pPr>
        <w:spacing w:before="40" w:after="40"/>
        <w:ind w:left="283"/>
      </w:pPr>
      <w:r>
        <w:rPr>
          <w:rFonts w:ascii="Calibri" w:hAnsi="Calibri"/>
          <w:b/>
          <w:color w:val="4A6B25"/>
          <w:sz w:val="20"/>
        </w:rPr>
        <w:t xml:space="preserve">2. </w:t>
      </w:r>
      <w:r>
        <w:rPr>
          <w:rFonts w:ascii="Calibri" w:hAnsi="Calibri"/>
          <w:b w:val="0"/>
          <w:color w:val="3A4A28"/>
          <w:sz w:val="20"/>
        </w:rPr>
        <w:t>Full realization of $10M annualized CDM synergies (currently at 75%) flowing through to adjusted EBITDA, potentially achieving consistent quarterly profitability by Q4 2026 [1]</w:t>
      </w:r>
    </w:p>
    <w:p>
      <w:pPr>
        <w:spacing w:before="40" w:after="40"/>
        <w:ind w:left="283"/>
      </w:pPr>
      <w:r>
        <w:rPr>
          <w:rFonts w:ascii="Calibri" w:hAnsi="Calibri"/>
          <w:b/>
          <w:color w:val="4A6B25"/>
          <w:sz w:val="20"/>
        </w:rPr>
        <w:t xml:space="preserve">3. </w:t>
      </w:r>
      <w:r>
        <w:rPr>
          <w:rFonts w:ascii="Calibri" w:hAnsi="Calibri"/>
          <w:b w:val="0"/>
          <w:color w:val="3A4A28"/>
          <w:sz w:val="20"/>
        </w:rPr>
        <w:t>SaaS platform launch under CXO Jackie Walker could shift the revenue model from project-based to recurring software revenue, potentially re-rating the stock to a higher multiple if executed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Illiquidity — average daily dollar volume of ~$147K means the stock is untradeable for institutional investors, and any significant selling pressure could create outsized price declines in this thin market [4]</w:t>
      </w:r>
    </w:p>
    <w:p>
      <w:pPr>
        <w:spacing w:before="40" w:after="40"/>
        <w:ind w:left="283"/>
      </w:pPr>
      <w:r>
        <w:rPr>
          <w:rFonts w:ascii="Calibri" w:hAnsi="Calibri"/>
          <w:b/>
          <w:color w:val="4A6B25"/>
          <w:sz w:val="20"/>
        </w:rPr>
        <w:t xml:space="preserve">2. </w:t>
      </w:r>
      <w:r>
        <w:rPr>
          <w:rFonts w:ascii="Calibri" w:hAnsi="Calibri"/>
          <w:b w:val="0"/>
          <w:color w:val="3A4A28"/>
          <w:sz w:val="20"/>
        </w:rPr>
        <w:t>Balance sheet fragility with only $314K cash against $24M debt — the company has no margin for error on client payments, project execution, or revenue timing, and a dilutive equity raise at $3.40/share would be devastating to existing shareholders [4]</w:t>
      </w:r>
    </w:p>
    <w:p>
      <w:pPr>
        <w:spacing w:before="40" w:after="40"/>
        <w:ind w:left="283"/>
      </w:pPr>
      <w:r>
        <w:rPr>
          <w:rFonts w:ascii="Calibri" w:hAnsi="Calibri"/>
          <w:b/>
          <w:color w:val="4A6B25"/>
          <w:sz w:val="20"/>
        </w:rPr>
        <w:t xml:space="preserve">3. </w:t>
      </w:r>
      <w:r>
        <w:rPr>
          <w:rFonts w:ascii="Calibri" w:hAnsi="Calibri"/>
          <w:b w:val="0"/>
          <w:color w:val="3A4A28"/>
          <w:sz w:val="20"/>
        </w:rPr>
        <w:t>SaaS platform transformation is entirely aspirational with no shipped products — the CXO was hired in March 2026 and the company must fund development from negative operating cash flow while simultaneously integrating CDM and executing client deployments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Creative Realities operates as a digital signage systems integrator with a growing managed services component — AI creates mixed risk-opportunity dynamics for this business [1]. On the defensive side, the physical hardware installation, site management, and client relationship aspects of the business require human expertise and on-site presence that AI cannot replace. The retail media network model creates recurring revenue with switching costs. On the risk side, AI-powered content management tools could automate much of the creative and content scheduling work that Creative Realities sells as a managed service, and large retailers may bring these capabilities in-house using off-the-shelf AI tools rather than outsourcing to a specialized vendor. The company's small scale ($40M market cap) limits its ability to invest in proprietary AI capabilities. AI Opportunity (0/1): The company has announced aspirations for an 'AI-powered' platform under new CXO Jackie Walker but has not shipped AI products or generated quantifiable AI revenue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Creative Realities Q2 2026 Earnings — Revenue $21.5M (+65% YoY), Adjusted EBITDA $2.0M (+82%), CDM Synergies 75% Realized, Record Q3/Q4 Expected — Yahoo Finance, TradingKey, August 2026</w:t>
      </w:r>
    </w:p>
    <w:p>
      <w:pPr>
        <w:spacing w:before="20" w:after="20"/>
        <w:ind w:left="170"/>
      </w:pPr>
      <w:r>
        <w:rPr>
          <w:rFonts w:ascii="Calibri" w:hAnsi="Calibri"/>
          <w:b/>
          <w:color w:val="4A6B25"/>
          <w:sz w:val="15"/>
        </w:rPr>
        <w:t xml:space="preserve">2. </w:t>
      </w:r>
      <w:r>
        <w:rPr>
          <w:rFonts w:ascii="Calibri" w:hAnsi="Calibri"/>
          <w:b w:val="0"/>
          <w:color w:val="3A4A28"/>
          <w:sz w:val="17"/>
        </w:rPr>
        <w:t>Creative Realities Leadership Changes — CXO Jackie Walker (March 2026, 16-year Publicis Sapient veteran), CRO Dan McAllister (November 2025), Software-First Platform Vision — CRI Newsroom, Quiver Quantitative, 2025-2026</w:t>
      </w:r>
    </w:p>
    <w:p>
      <w:pPr>
        <w:spacing w:before="20" w:after="20"/>
        <w:ind w:left="170"/>
      </w:pPr>
      <w:r>
        <w:rPr>
          <w:rFonts w:ascii="Calibri" w:hAnsi="Calibri"/>
          <w:b/>
          <w:color w:val="4A6B25"/>
          <w:sz w:val="15"/>
        </w:rPr>
        <w:t xml:space="preserve">3. </w:t>
      </w:r>
      <w:r>
        <w:rPr>
          <w:rFonts w:ascii="Calibri" w:hAnsi="Calibri"/>
          <w:b w:val="0"/>
          <w:color w:val="3A4A28"/>
          <w:sz w:val="17"/>
        </w:rPr>
        <w:t>Creative Realities Insider Activity — CFO Tamra Koshewa Purchased 28,571 shares (June 30, 2026), 17.11% Insider Ownership, 2 Buys / 1 Sell in Past Year — GuruFocus, StockAnalysis,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Simply Wall St — CREX Key Statistics: Stock Price $3.40, Market Cap $40M, D/E 109%, ROE -36.46%, Avg Volume 43,360,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