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CRGY</w:t>
      </w:r>
      <w:r>
        <w:rPr>
          <w:rFonts w:ascii="Calibri" w:hAnsi="Calibri"/>
          <w:b/>
          <w:color w:val="1A2010"/>
          <w:sz w:val="40"/>
        </w:rPr>
        <w:t xml:space="preserve">  Crescent Energy Company</w:t>
      </w:r>
    </w:p>
    <w:p>
      <w:pPr>
        <w:spacing w:after="120"/>
      </w:pPr>
      <w:r>
        <w:rPr>
          <w:rFonts w:ascii="Calibri" w:hAnsi="Calibri"/>
          <w:b/>
          <w:color w:val="6E8450"/>
          <w:sz w:val="18"/>
        </w:rPr>
        <w:t>GROWTH SLEEVE · 2026-10-14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Crescent Energy Company is an independent oil and natural gas exploration and production company focused on the Permian Basin, Eagle Ford, and Uinta Basin. Backed by KKR, the company has grown rapidly through acquisitions including SilverBow Resources and Vital Energy, transforming from a small E&amp;P into a major operator. Q2 2026 delivered record results: revenue of $1.39B, Adjusted EBITDAX of $798M, operating cash flow of $707M, and levered free cash flow of $418M. Headquartered in Houston, Texas.</w:t>
      </w:r>
    </w:p>
    <w:p>
      <w:r>
        <w:rPr>
          <w:rFonts w:ascii="Calibri" w:hAnsi="Calibri"/>
          <w:b/>
          <w:color w:val="6E8450"/>
          <w:sz w:val="18"/>
        </w:rPr>
        <w:t>1,800 Employees · https://crescentenergyco.com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Crescent executed multiple transformative acquisitions — SilverBow Resources and Vital Energy — growing from a sub-$1B revenue E&amp;P company at its 2021 founding to a ~$5B annual revenue operator in just four years, fundamentally reshaping the business into one of the larger Permian/Eagle Ford producers [1][2]. The acquisition strategy was deliberate: targeting high-quality, overlapping acreage to build operational scale during a period of energy sector volatility. AI Deployment (0/2): No evidence of AI-powered products, AI-driven operational optimization, or quantified AI cost savings — the company's technology strategy is not visible in any filings or investor materials. Market Share (1/2): Crescent has become a meaningful Permian/Eagle Ford operator through acquisitions, with Q1 2026 volumes up 32% YoY following the Vital Energy merger, but the company is one of many mid-cap E&amp;P operators rather than a category leader [1]. Product Pipeline (0/2): As an E&amp;P company, the 'pipeline' is drilling inventory — no next-generation technology or product announcements with specific timelines. R&amp;D Intensity (0/1): E&amp;P companies typically do not have above-average R&amp;D spending relative to the energy sector; Crescent's innovation is in M&amp;A execution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Crescent Energy's purpose centers on responsible energy development and value creation through disciplined operations — generic and interchangeable with any E&amp;P company; there is no articulated vision of a better future beyond profitable hydrocarbon extraction [4]. Community Impact (1/2): Crescent joined the OGMP 2.0 methane reporting initiative, committed to reducing methane emissions, and published an ESG report — demonstrating engagement with environmental responsibility for an E&amp;P company, though lacking distinctive community investment programs with specific dollar amounts [5]. Employee Retention (1/2): Glassdoor at 3.9/5 with 84% CEO approval is respectable for a mid-cap E&amp;P company, and reviews praise the IT team leadership for 'demanding action, integrity, and accountability' [3]. However, reviewers also cite integration challenges from rapid-fire acquisitions, communication issues between offices, and organizational growing pains — suggesting adequate but still-maturing trust [3]. Insider Buying (0/2): No evidence of meaningful net insider buying; CEO Rockecharlie is a KKR partner, and KKR's ~30% ownership aligns interests structurally but does not constitute personal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Crescent's forward P/E of 5.5 is deeply discounted against the 20 target (score 1.0), reflecting both value and commodity risk pricing [1][2]. Revenue growth of 55.3% YoY (score 1.0) is exceptional, driven by acquisition-fueled volume increases with Q1 volumes up 32% from the Vital Energy merger. D/E of 100.2% scores 0.87, moderately elevated from acquisition financing [4]. ROE of 1.5% (score 0.10, 2x weight) is near-zero as GAAP earnings are depressed by non-cash charges including a Q1 2026 GAAP loss of $419M despite $175M adjusted net income [1]. Profit margin of 1.3% (score 0.06) similarly reflects GAAP distortion from acquisition-related charges rather than operational weakness — the company generated record $418M levered FCF in Q2 alone [2]. 5-year revenue CAGR estimated at 19% (score 1.0, 2x weight) based on the company's existence since 2021. PEG ratio unavailable — excluded. Daily dollar volume of $89.8M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Crescent Energy is playing a finite game with skill — executing a disciplined acquisition strategy to build scale and generate cash flow, but without a Just Cause beyond value creation for shareholders and KKR. The company exists as a financial engineering vehicle backed by private equity, optimizing for returns on deployed capital rather than advancing a durable vision of the energy future. Bold M&amp;A decisions (SilverBow, Vital Energy) show courage, and early-stage organizational trust is building, but the company lacks the foundational elements of infinite play: a purpose that transcends profit, a culture tested through adversity, and leadership continuity beyond KKR's investment horizon.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Crescent Energy does not articulate a Just Cause. The company exists to create shareholder returns through disciplined acquisition-driven growth in E&amp;P — a legitimate business purpose but not a vision of a future state that inspires sacrifice [4]. Backed by KKR as a financial sponsor, the company's strategic decisions trace back to capital allocation optimization, not a purpose that transcends profit. There is no articulated vision of how Crescent intends to shape the energy future beyond being a well-run production company.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at 3.9/5 with 84% CEO approval suggests adequate organizational trust for a young, rapidly growing company [3]. Positive reviews praise leadership integrity and accountability. However, the organization is still integrating multiple acquisitions, and reviewers cite 'disorganization,' 'unclear expectations,' and communication issues between offices that undermine psychological safety [3]. The company is too young (founded 2021) and has grown too fast through acquisition to have established the deep organizational trust Sinek describes.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Crescent's competitive strategy focuses on acquiring acreage and scale to optimize cost structures and capital allocation — a finite game of accumulation [1][2][4]. No management commentary references learning from rivals or using competitive pressure for self-improvement; the competitive framework is about building scale faster than peers through M&amp;A arbitrage.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Crescent has evolved from a small E&amp;P platform into a major multi-basin operator through serial transformative acquisitions, demonstrating willingness to fundamentally reshape the company [1][2]. The SilverBow and Vital Energy deals each roughly doubled the company's production profile, showing strategic ambition. However, this is acquisition-driven scaling within the same business model (conventional E&amp;P), not a purpose-driven reinvention — the company hasn't abandoned or cannibalized anything to serve a deeper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Rockecharlie and the KKR-backed team demonstrated meaningful courage by executing the SilverBow and Vital Energy acquisitions during volatile commodity markets, deploying billions of capital to build a scaled Permian/Eagle Ford operator [1][2]. The willingness to take on significant debt (D/E 100%) to pursue transformative scale reflects conviction about long-term value creation over near-term balance sheet comfort. However, these bets were made with KKR's balance sheet and expertise behind them, reducing personal risk relative to a standalone company's CEO making similar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Crescent Energy at $12.94 with a $4.3B market cap trades at just 5.5x forward earnings, offering deep value in a rapidly scaling E&amp;P operator delivering record financial results — Q2 2026 produced record Adjusted EBITDAX of $798M, record operating cash flow of $707M, and record levered free cash flow of $418M on $1.39B in revenue [2]. The company's acquisition-driven growth strategy has been transformative: revenue surged 55% YoY with volumes up 32% from the Vital Energy merger, and KKR-backed management has demonstrated disciplined capital allocation across multiple accretive deals [1]. The structural AI datacenter demand tailwind for natural gas adds a secular growth dimension to the commodity thesis, and the 3.7% dividend yield provides income while investors wait for valuation re-rating.</w:t>
      </w:r>
    </w:p>
    <w:p>
      <w:pPr>
        <w:spacing w:after="120"/>
      </w:pPr>
      <w:r>
        <w:rPr>
          <w:rFonts w:ascii="Calibri" w:hAnsi="Calibri"/>
          <w:b w:val="0"/>
          <w:color w:val="3A4A28"/>
          <w:sz w:val="20"/>
        </w:rPr>
        <w:t>The bear case centers on commodity exposure and financial engineering risk. Crescent's 1.3% GAAP profit margin and 1.5% ROE mean the company is barely profitable after acquisition-related charges, and the trailing PE of 118x reveals how far GAAP earnings lag the operating reality — a disconnect that may persist as integration costs continue [1][4]. D/E of 100% from serial acquisitions constrains financial flexibility if commodity prices decline, and as a KKR-backed vehicle, the investment horizon and governance dynamics differ from founder-led companies — KKR's eventual exit could create significant selling pressure on a $4.3B market cap [3][4]. The company has existed for only four years with no track record through a sustained commodity downturn, and integration challenges from SilverBow and Vital Energy (Glassdoor reviews cite 'disorganization' and communication issues) could undermine operational synergies [3]. Oil price volatility remains the dominant risk — a sustained decline below $60/bbl WTI would stress the balance sheet and potentially force dividend cuts and asset sales.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datacenter electricity demand creating structural tailwind for natural gas — Crescent's gas-weighted production benefits from AI-driven power demand growth that is accelerating faster than new supply additions, supporting commodity prices independent of traditional cycle dynamics [1][2]</w:t>
      </w:r>
    </w:p>
    <w:p>
      <w:pPr>
        <w:spacing w:before="40" w:after="40"/>
        <w:ind w:left="283"/>
      </w:pPr>
      <w:r>
        <w:rPr>
          <w:rFonts w:ascii="Calibri" w:hAnsi="Calibri"/>
          <w:b/>
          <w:color w:val="4A6B25"/>
          <w:sz w:val="20"/>
        </w:rPr>
        <w:t xml:space="preserve">2. </w:t>
      </w:r>
      <w:r>
        <w:rPr>
          <w:rFonts w:ascii="Calibri" w:hAnsi="Calibri"/>
          <w:b w:val="0"/>
          <w:color w:val="3A4A28"/>
          <w:sz w:val="20"/>
        </w:rPr>
        <w:t>Acquisition integration synergies still being realized — the Vital Energy merger produced Q1 2026 volumes up 32% YoY, and operating cost optimization across the expanded Permian/Eagle Ford footprint should drive margin expansion from the current depressed 1.3% GAAP level toward normalized levels [1][2]</w:t>
      </w:r>
    </w:p>
    <w:p>
      <w:pPr>
        <w:spacing w:before="40" w:after="40"/>
        <w:ind w:left="283"/>
      </w:pPr>
      <w:r>
        <w:rPr>
          <w:rFonts w:ascii="Calibri" w:hAnsi="Calibri"/>
          <w:b/>
          <w:color w:val="4A6B25"/>
          <w:sz w:val="20"/>
        </w:rPr>
        <w:t xml:space="preserve">3. </w:t>
      </w:r>
      <w:r>
        <w:rPr>
          <w:rFonts w:ascii="Calibri" w:hAnsi="Calibri"/>
          <w:b w:val="0"/>
          <w:color w:val="3A4A28"/>
          <w:sz w:val="20"/>
        </w:rPr>
        <w:t>Forward P/E of 5.5x with record FCF of $418M quarterly implies extreme pessimism — any re-rating toward mid-cap E&amp;P peer multiples of 8-10x forward earnings would generate 45-80% upside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exposure is the dominant risk — a sustained decline in oil prices below $60/bbl WTI would stress the 100% D/E balance sheet, potentially forcing dividend cuts and undermining the acquisition-driven growth thesis [4]</w:t>
      </w:r>
    </w:p>
    <w:p>
      <w:pPr>
        <w:spacing w:before="40" w:after="40"/>
        <w:ind w:left="283"/>
      </w:pPr>
      <w:r>
        <w:rPr>
          <w:rFonts w:ascii="Calibri" w:hAnsi="Calibri"/>
          <w:b/>
          <w:color w:val="4A6B25"/>
          <w:sz w:val="20"/>
        </w:rPr>
        <w:t xml:space="preserve">2. </w:t>
      </w:r>
      <w:r>
        <w:rPr>
          <w:rFonts w:ascii="Calibri" w:hAnsi="Calibri"/>
          <w:b w:val="0"/>
          <w:color w:val="3A4A28"/>
          <w:sz w:val="20"/>
        </w:rPr>
        <w:t>KKR's eventual exit from its ~30% ownership stake could create significant selling pressure on the $4.3B market cap, and the private equity governance model introduces event risk that traditional E&amp;P operators don't carry [4]</w:t>
      </w:r>
    </w:p>
    <w:p>
      <w:pPr>
        <w:spacing w:before="40" w:after="40"/>
        <w:ind w:left="283"/>
      </w:pPr>
      <w:r>
        <w:rPr>
          <w:rFonts w:ascii="Calibri" w:hAnsi="Calibri"/>
          <w:b/>
          <w:color w:val="4A6B25"/>
          <w:sz w:val="20"/>
        </w:rPr>
        <w:t xml:space="preserve">3. </w:t>
      </w:r>
      <w:r>
        <w:rPr>
          <w:rFonts w:ascii="Calibri" w:hAnsi="Calibri"/>
          <w:b w:val="0"/>
          <w:color w:val="3A4A28"/>
          <w:sz w:val="20"/>
        </w:rPr>
        <w:t>Integration risk from rapid serial acquisitions (SilverBow, Vital Energy) with Glassdoor reviews citing organizational disorganization, unclear expectations, and communication issues between offices — operational synergies may be slower to materialize than management projects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Crescent Energy's core business is producing oil and natural gas from physical wells in the Permian Basin, Eagle Ford, and Uinta Basin — AI structurally cannot replace the need for hydrocarbons or the physical extraction, transportation, and processing of petroleum [4]. The business involves physical-world operations (drilling, well completion, pipeline transport) and essential energy infrastructure that AI cannot displace. In fact, AI may actively increase demand for Crescent's products — AI data centers consume massive amounts of electricity, much of which is generated by natural gas, creating a structural demand tailwind for gas-weighted producers [1][2]. Analysts see zero AI substitution risk for E&amp;P operators. AI Opportunity (0/1): No evidence of AI-related revenue. While other E&amp;P companies are deploying AI for well optimization and predictive maintenance, Crescent has not publicized any specific AI capabilities or quantified AI-driven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Crescent Energy Q1 2026 Earnings Release — Revenue $1,182.8M (+24% YoY), Volumes +32% from Vital Energy merger, Adjusted Net Income $175M, May 2026</w:t>
      </w:r>
    </w:p>
    <w:p>
      <w:pPr>
        <w:spacing w:before="20" w:after="20"/>
        <w:ind w:left="170"/>
      </w:pPr>
      <w:r>
        <w:rPr>
          <w:rFonts w:ascii="Calibri" w:hAnsi="Calibri"/>
          <w:b/>
          <w:color w:val="4A6B25"/>
          <w:sz w:val="15"/>
        </w:rPr>
        <w:t xml:space="preserve">2. </w:t>
      </w:r>
      <w:r>
        <w:rPr>
          <w:rFonts w:ascii="Calibri" w:hAnsi="Calibri"/>
          <w:b w:val="0"/>
          <w:color w:val="3A4A28"/>
          <w:sz w:val="17"/>
        </w:rPr>
        <w:t>Crescent Energy Q2 2026 Earnings Release — Revenue $1.39B, Record EBITDAX $798M, Record OCF $707M, Record LFCF $418M, August 2026</w:t>
      </w:r>
    </w:p>
    <w:p>
      <w:pPr>
        <w:spacing w:before="20" w:after="20"/>
        <w:ind w:left="170"/>
      </w:pPr>
      <w:r>
        <w:rPr>
          <w:rFonts w:ascii="Calibri" w:hAnsi="Calibri"/>
          <w:b/>
          <w:color w:val="4A6B25"/>
          <w:sz w:val="15"/>
        </w:rPr>
        <w:t xml:space="preserve">3. </w:t>
      </w:r>
      <w:r>
        <w:rPr>
          <w:rFonts w:ascii="Calibri" w:hAnsi="Calibri"/>
          <w:b w:val="0"/>
          <w:color w:val="3A4A28"/>
          <w:sz w:val="17"/>
        </w:rPr>
        <w:t>Crescent Energy Glassdoor Reviews — 3.9/5 overall, 84% CEO approval, 60% recommend, integration challenges cited, 2024-2026</w:t>
      </w:r>
    </w:p>
    <w:p>
      <w:pPr>
        <w:spacing w:before="20" w:after="20"/>
        <w:ind w:left="170"/>
      </w:pPr>
      <w:r>
        <w:rPr>
          <w:rFonts w:ascii="Calibri" w:hAnsi="Calibri"/>
          <w:b/>
          <w:color w:val="4A6B25"/>
          <w:sz w:val="15"/>
        </w:rPr>
        <w:t xml:space="preserve">4. </w:t>
      </w:r>
      <w:r>
        <w:rPr>
          <w:rFonts w:ascii="Calibri" w:hAnsi="Calibri"/>
          <w:b w:val="0"/>
          <w:color w:val="3A4A28"/>
          <w:sz w:val="17"/>
        </w:rPr>
        <w:t>Crescent Energy FY2025 10-K — D/E 100%, acquisition strategy, KKR sponsorship, anti-ESG litigation risk disclosure, February 2026</w:t>
      </w:r>
    </w:p>
    <w:p>
      <w:pPr>
        <w:spacing w:before="20" w:after="20"/>
        <w:ind w:left="170"/>
      </w:pPr>
      <w:r>
        <w:rPr>
          <w:rFonts w:ascii="Calibri" w:hAnsi="Calibri"/>
          <w:b/>
          <w:color w:val="4A6B25"/>
          <w:sz w:val="15"/>
        </w:rPr>
        <w:t xml:space="preserve">5. </w:t>
      </w:r>
      <w:r>
        <w:rPr>
          <w:rFonts w:ascii="Calibri" w:hAnsi="Calibri"/>
          <w:b w:val="0"/>
          <w:color w:val="3A4A28"/>
          <w:sz w:val="17"/>
        </w:rPr>
        <w:t>Natural Gas Intelligence: Crescent Energy commits to ESG strategy, reduced methane emissions, OGMP 2.0 membership, 2023</w:t>
      </w:r>
    </w:p>
    <w:p>
      <w:pPr>
        <w:spacing w:before="20" w:after="20"/>
        <w:ind w:left="170"/>
      </w:pPr>
      <w:r>
        <w:rPr>
          <w:rFonts w:ascii="Calibri" w:hAnsi="Calibri"/>
          <w:b/>
          <w:color w:val="4A6B25"/>
          <w:sz w:val="15"/>
        </w:rPr>
        <w:t xml:space="preserve">6. </w:t>
      </w:r>
      <w:r>
        <w:rPr>
          <w:rFonts w:ascii="Calibri" w:hAnsi="Calibri"/>
          <w:b w:val="0"/>
          <w:color w:val="3A4A28"/>
          <w:sz w:val="17"/>
        </w:rPr>
        <w:t>Sustainalytics ESG Risk Rating — Score 43.2 (Severe), ranked 111 of 280 in oil and gas E&amp;P industry</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