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CRH</w:t>
      </w:r>
      <w:r>
        <w:rPr>
          <w:rFonts w:ascii="Calibri" w:hAnsi="Calibri"/>
          <w:b/>
          <w:color w:val="1A2010"/>
          <w:sz w:val="40"/>
        </w:rPr>
        <w:t xml:space="preserve">  CRH plc</w:t>
      </w:r>
    </w:p>
    <w:p>
      <w:pPr>
        <w:spacing w:after="120"/>
      </w:pPr>
      <w:r>
        <w:rPr>
          <w:rFonts w:ascii="Calibri" w:hAnsi="Calibri"/>
          <w:b/>
          <w:color w:val="6E8450"/>
          <w:sz w:val="18"/>
        </w:rPr>
        <w:t>GROWTH SLEEVE · 2026-10-19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Building Materials · NYSE · Ireland</w:t>
      </w:r>
    </w:p>
    <w:p>
      <w:pPr>
        <w:spacing w:after="80"/>
      </w:pPr>
      <w:r>
        <w:rPr>
          <w:rFonts w:ascii="Calibri" w:hAnsi="Calibri"/>
          <w:b w:val="0"/>
          <w:color w:val="3A4A28"/>
          <w:sz w:val="20"/>
        </w:rPr>
        <w:t>CRH is the largest building materials company in North America and among the largest globally, operating through Americas Materials Solutions, Americas Building Solutions, and International Solutions segments producing aggregates, cement, ready-mixed concrete, asphalt, and building products. Q2 2026 revenue reached $10.8B (+6% YoY) with adjusted EBITDA of $2.63B (+7%), and FY2026 guidance targets net income of $3.9B-$4.1B. Founded in 1936 and headquartered in Dublin, Ireland, CRH listed on the NYSE in 2023 and employs 83,000 people across operations in the Americas, Europe, and internationally.</w:t>
      </w:r>
    </w:p>
    <w:p>
      <w:r>
        <w:rPr>
          <w:rFonts w:ascii="Calibri" w:hAnsi="Calibri"/>
          <w:b/>
          <w:color w:val="6E8450"/>
          <w:sz w:val="18"/>
        </w:rPr>
        <w:t>83,032 Employees · https://www.crh.com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CRH executed two transformative moves — the September 2023 NYSE primary listing (delisting from London) to access deeper U.S. capital markets, and an aggressive M&amp;A-driven portfolio transformation completing 11 acquisitions worth $1.1B in Q2 2026 alone with a pending $8.5B Arcosa deal [1][4]. These redefined CRH from an Irish-centric conglomerate into a North America-focused integrated solutions provider. AI Deployment (0/2): No evidence of AI-powered products shipping to customers or specific AI-driven cost savings reported. Building materials is a low-AI-adoption industry, and CRH has not publicly discussed AI deployment in operations or customer-facing applications. Market Share (2/2): CRH holds the #1 position in North American aggregates, cement, and building products by revenue, with $38.6B TTM revenue and dominant market positions across the fragmented U.S. infrastructure supply chain [1]. The Arcosa acquisition would further consolidate this leadership. Product Pipeline (1/2): The $8.5B Arcosa acquisition (expected Q1 2027) expands CRH's aggregates-led portfolio, and the five-year plan targets $40B of capital capacity for growth investments, but no specific next-generation products — this is a materials business where innovation is incremental [3][4]. R&amp;D Intensity (0/1): Building materials is a low-R&amp;D industry by nature. CRH invests in carbon reduction technology and low-carbon cement alternatives but R&amp;D spend is below technology-sector benchmarks.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CRH's stated purpose — building solutions for a changing world — identifies what the company does and connects it to societal infrastructure needs, but does not articulate a deeper purpose or inspire beyond the functional [1]. It is clear but not distinctive among building materials peers. Community Impact (1/2): CRH has invested in sustainability programs including developing a wind farm in Romania to power a cement plant, submitted CDP climate disclosures, and maintains a board ESG Committee [5]. However, no specific charitable programs with dollar amounts or community development initiatives were identified beyond environmental compliance and decarbonization efforts. Employee Retention (1/2): Jim Mintern was promoted internally to CEO, suggesting a stable leadership pipeline and organizational continuity across 83,000 employees [3]. The company's 90-year history implies workforce stability, and industrial companies in building materials typically have moderate-to-long average tenure. However, no specific voluntary turnover or employee satisfaction data available.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CRH's financial profile is anchored by strong profitability and reasonable valuation. ROE of 15.8% exceeds the 15% target (score 1.0 at 2x weight), and Forward P/E of 13.0 is well below the 20 target (score 1.0) [1]. D/E of 77.6% is slightly above the 70% target (score 0.97), reflecting the M&amp;A-driven capital structure with $19.8B debt offset by $3.0B cash and $5.4B operating cash flow. PEG of 1.61 scores 0.70 (at 2x weight), indicating reasonable growth-adjusted valuation. Revenue growth is modest: 5.6% YoY (score 0.85) and 4.6% 3-year CAGR (score 0.64 at 2x weight), reflecting CRH's steady-state organic growth supplemented by acquisitions [1][3]. Profit margin of 9.9% is below the 20% target (score 0.50), typical for a capital-intensive materials business but a structural limitation. Daily dollar volume of $416M provides excellent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CRH operates primarily as a finite player — a superbly managed, acquisition-driven building materials conglomerate optimizing for market share, margins, and capital returns rather than advancing a cause that transcends quarterly metrics. The company's 90-year history demonstrates durability but reflects industry stability rather than deliberate purpose-driven strategy. CEO Jim Mintern's five-year plan with $40B capital capacity is ambitious but framed in financial targets (EBITDA margins, capital deployment) rather than a vision of the future CRH is building toward.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CRH's purpose — 'building solutions for a changing world' — is a functional tagline rather than a Just Cause [1]. It does not describe a future state that does not yet exist, it is not particularly inclusive or idealistic, and it does not invite sacrifice in its pursuit. The company exists to produce and sell building materials profitably. Strategic decisions trace to capital allocation discipline and market positioning rather than a guiding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Internal CEO promotion of Jim Mintern suggests a stable leadership culture and healthy succession pipeline [3]. CRH's 83,000 employees across global operations and 90-year history imply organizational stability. However, the decentralized acquisition-driven model means culture varies significantly across hundreds of local operations, and no evidence of exceptional trust practices or employee empowerment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CRH frames competition in terms of learning from rivals' strengths. The company's M&amp;A strategy is about consolidation and market share gain rather than self-improvement inspired by competitive dynamics. Management discusses Arcosa and other acquisitions in terms of market positioning rather than what competitors do better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CRH has transformed from a regional Irish cement company into the largest North American building materials company through decades of acquisitions, geographic expansion, and portfolio reshaping [1]. The NYSE listing and Americas-focused strategy represent meaningful strategic evolution. However, the fundamental business — producing and selling building materials — has not changed, and the transformation has been incremental (acquisitive) rather than transformative in Sinek's sense.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NYSE primary listing in 2023 (abandoning London/Dublin) was a bold strategic move that required walking away from CRH's historical European identity to access deeper U.S. capital markets [1]. The $8.5B Arcosa acquisition and $40B five-year capital allocation plan demonstrate willingness to make large long-term bets [3][4]. CEO Jim Mintern's decision to divest noncore assets while pursuing aggressive aggregates-led growth shows strategic discipline.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CRH at $83.63 with a $55.6B market cap is the dominant North American building materials franchise trading at an attractive 13.0x forward earnings, delivering record Q2 2026 results with revenue of $10.8B (+6% YoY), net income of $1.5B (+13%), and adjusted EBITDA of $2.63B (+7%) [1]. The company's infrastructure-levered positioning benefits from the $1.2T U.S. infrastructure bill, reindustrialization, and AI data center construction driving demand for aggregates, cement, and concrete. CEO Jim Mintern's five-year plan targets $40B of capital capacity with 7-9% average annual revenue growth and 22-24% EBITDA margins by 2030, and the $8.5B Arcosa acquisition would further consolidate CRH's aggregates leadership [3][4]. FY2026 guidance of $3.9B-$4.1B net income and $5.60-$6.05 diluted EPS provides strong earnings visibility.</w:t>
      </w:r>
    </w:p>
    <w:p>
      <w:pPr>
        <w:spacing w:after="120"/>
      </w:pPr>
      <w:r>
        <w:rPr>
          <w:rFonts w:ascii="Calibri" w:hAnsi="Calibri"/>
          <w:b w:val="0"/>
          <w:color w:val="3A4A28"/>
          <w:sz w:val="20"/>
        </w:rPr>
        <w:t>The bear case centers on cyclical exposure and modest organic growth. CRH's 5.6% YoY revenue growth and 4.6% 3-year CAGR are below the 10% target, and the Americas Building Solutions segment declined 2% in Q2 2026 as U.S. residential new build activity remained subdued [1]. Profit margin of 9.9% is structurally constrained by the capital-intensive materials business, and D/E of 77.6% with $19.8B debt could become burdensome if acquisition-driven growth disappoints. The pending $8.5B Arcosa deal carries integration and execution risk. ESG critics have challenged CRH's climate accounting assumptions and decarbonization credibility — cement production is inherently carbon-intensive, and investors (Sarasin &amp; Partners, LAPFF) have pressed for science-based 2030 targets tied to executive compensation [5]. CRH's reliance on M&amp;A for growth means organic revenue expansion is modest, and overpaying for acquisitions in a competitive market is an ongoing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infrastructure spending from the $1.2T Infrastructure Investment and Jobs Act drives multi-year demand for aggregates, cement, and concrete, with CRH's Americas Materials Solutions segment growing 10% in Q2 2026 as infrastructure and reindustrialization projects ramp [1]</w:t>
      </w:r>
    </w:p>
    <w:p>
      <w:pPr>
        <w:spacing w:before="40" w:after="40"/>
        <w:ind w:left="283"/>
      </w:pPr>
      <w:r>
        <w:rPr>
          <w:rFonts w:ascii="Calibri" w:hAnsi="Calibri"/>
          <w:b/>
          <w:color w:val="4A6B25"/>
          <w:sz w:val="20"/>
        </w:rPr>
        <w:t xml:space="preserve">2. </w:t>
      </w:r>
      <w:r>
        <w:rPr>
          <w:rFonts w:ascii="Calibri" w:hAnsi="Calibri"/>
          <w:b w:val="0"/>
          <w:color w:val="3A4A28"/>
          <w:sz w:val="20"/>
        </w:rPr>
        <w:t>Pending $8.5B Arcosa acquisition (expected Q1 2027) would further consolidate CRH's aggregates-led portfolio, with the company targeting 7-9% average annual revenue growth and 22-24% EBITDA margins by 2030 through $40B of capital capacity [3][4]</w:t>
      </w:r>
    </w:p>
    <w:p>
      <w:pPr>
        <w:spacing w:before="40" w:after="40"/>
        <w:ind w:left="283"/>
      </w:pPr>
      <w:r>
        <w:rPr>
          <w:rFonts w:ascii="Calibri" w:hAnsi="Calibri"/>
          <w:b/>
          <w:color w:val="4A6B25"/>
          <w:sz w:val="20"/>
        </w:rPr>
        <w:t xml:space="preserve">3. </w:t>
      </w:r>
      <w:r>
        <w:rPr>
          <w:rFonts w:ascii="Calibri" w:hAnsi="Calibri"/>
          <w:b w:val="0"/>
          <w:color w:val="3A4A28"/>
          <w:sz w:val="20"/>
        </w:rPr>
        <w:t>AI data center construction boom creating unprecedented demand for building materials — hyperscale data centers require massive quantities of concrete, aggregates, and specialized building products that CRH supplies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Cyclical exposure to U.S. residential construction — Americas Building Solutions declined 2% in Q2 2026, and a sustained housing downturn would pressure the segment that represents ~20% of revenue [1]</w:t>
      </w:r>
    </w:p>
    <w:p>
      <w:pPr>
        <w:spacing w:before="40" w:after="40"/>
        <w:ind w:left="283"/>
      </w:pPr>
      <w:r>
        <w:rPr>
          <w:rFonts w:ascii="Calibri" w:hAnsi="Calibri"/>
          <w:b/>
          <w:color w:val="4A6B25"/>
          <w:sz w:val="20"/>
        </w:rPr>
        <w:t xml:space="preserve">2. </w:t>
      </w:r>
      <w:r>
        <w:rPr>
          <w:rFonts w:ascii="Calibri" w:hAnsi="Calibri"/>
          <w:b w:val="0"/>
          <w:color w:val="3A4A28"/>
          <w:sz w:val="20"/>
        </w:rPr>
        <w:t>ESG and decarbonization credibility risk — cement production is inherently carbon-intensive, and investors (Sarasin &amp; Partners, LAPFF) have challenged CRH's climate accounting assumptions and pressed for science-based targets tied to executive pay, creating potential divestment or regulatory pressure [5]</w:t>
      </w:r>
    </w:p>
    <w:p>
      <w:pPr>
        <w:spacing w:before="40" w:after="40"/>
        <w:ind w:left="283"/>
      </w:pPr>
      <w:r>
        <w:rPr>
          <w:rFonts w:ascii="Calibri" w:hAnsi="Calibri"/>
          <w:b/>
          <w:color w:val="4A6B25"/>
          <w:sz w:val="20"/>
        </w:rPr>
        <w:t xml:space="preserve">3. </w:t>
      </w:r>
      <w:r>
        <w:rPr>
          <w:rFonts w:ascii="Calibri" w:hAnsi="Calibri"/>
          <w:b w:val="0"/>
          <w:color w:val="3A4A28"/>
          <w:sz w:val="20"/>
        </w:rPr>
        <w:t>Acquisition integration risk from the $8.5B Arcosa deal and 11 other acquisitions in Q2 2026 alone ($1.1B), with overpaying or integration failures posing material downside given the company's M&amp;A-dependent growth model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Building materials is a quintessential physical-world business that AI structurally cannot displace — construction requires real aggregates, cement, concrete, and asphalt regardless of any technological advancement [1]. CRH's products are literally the foundation of physical infrastructure (roads, bridges, buildings, data centers), and the AI boom directly increases demand for CRH's materials through massive data center construction programs requiring concrete, aggregates, and specialized building products. Analysts see zero substitution risk; if anything, CRH benefits from AI-driven infrastructure spending including the $1.2T U.S. infrastructure bill. The only remote risk is AI-optimized construction processes reducing materials waste, but this is marginal and offset by demand growth [1][3]. AI Opportunity (0/1): CRH generates no revenue from AI products or services. The company benefits indirectly from AI-driven data center construction demand but does not sell AI-related products or generate quantifiable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CRH Q2 2026 Earnings, Revenue $10.8B (+6% YoY), Net Income $1.5B (+13%), Adj EBITDA $2.63B (+7%), Americas Materials +10%, Cemnet/Nasdaq July 2026</w:t>
      </w:r>
    </w:p>
    <w:p>
      <w:pPr>
        <w:spacing w:before="20" w:after="20"/>
        <w:ind w:left="170"/>
      </w:pPr>
      <w:r>
        <w:rPr>
          <w:rFonts w:ascii="Calibri" w:hAnsi="Calibri"/>
          <w:b/>
          <w:color w:val="4A6B25"/>
          <w:sz w:val="15"/>
        </w:rPr>
        <w:t xml:space="preserve">2. </w:t>
      </w:r>
      <w:r>
        <w:rPr>
          <w:rFonts w:ascii="Calibri" w:hAnsi="Calibri"/>
          <w:b w:val="0"/>
          <w:color w:val="3A4A28"/>
          <w:sz w:val="17"/>
        </w:rPr>
        <w:t>CRH FY2026 Guidance Reaffirmed — Net income $3.9B-$4.1B, Adj EBITDA $8.1B-$8.5B, Diluted EPS $5.60-$6.05, AJ Bell/Simply Wall St July 2026</w:t>
      </w:r>
    </w:p>
    <w:p>
      <w:pPr>
        <w:spacing w:before="20" w:after="20"/>
        <w:ind w:left="170"/>
      </w:pPr>
      <w:r>
        <w:rPr>
          <w:rFonts w:ascii="Calibri" w:hAnsi="Calibri"/>
          <w:b/>
          <w:color w:val="4A6B25"/>
          <w:sz w:val="15"/>
        </w:rPr>
        <w:t xml:space="preserve">3. </w:t>
      </w:r>
      <w:r>
        <w:rPr>
          <w:rFonts w:ascii="Calibri" w:hAnsi="Calibri"/>
          <w:b w:val="0"/>
          <w:color w:val="3A4A28"/>
          <w:sz w:val="17"/>
        </w:rPr>
        <w:t>CRH Investor Day — CEO Jim Mintern's $40B capital capacity plan 2026-2030, 7-9% avg annual revenue growth, 22-24% EBITDA margin by 2030, Cemnet/Barchart 2025</w:t>
      </w:r>
    </w:p>
    <w:p>
      <w:pPr>
        <w:spacing w:before="20" w:after="20"/>
        <w:ind w:left="170"/>
      </w:pPr>
      <w:r>
        <w:rPr>
          <w:rFonts w:ascii="Calibri" w:hAnsi="Calibri"/>
          <w:b/>
          <w:color w:val="4A6B25"/>
          <w:sz w:val="15"/>
        </w:rPr>
        <w:t xml:space="preserve">4. </w:t>
      </w:r>
      <w:r>
        <w:rPr>
          <w:rFonts w:ascii="Calibri" w:hAnsi="Calibri"/>
          <w:b w:val="0"/>
          <w:color w:val="3A4A28"/>
          <w:sz w:val="17"/>
        </w:rPr>
        <w:t>CRH Strategic M&amp;A — $8.5B Arcosa acquisition pending Q1 2027, 11 completed acquisitions worth $1.1B in Q2 2026, CRH Press Release/Earnings Call July 2026</w:t>
      </w:r>
    </w:p>
    <w:p>
      <w:pPr>
        <w:spacing w:before="20" w:after="20"/>
        <w:ind w:left="170"/>
      </w:pPr>
      <w:r>
        <w:rPr>
          <w:rFonts w:ascii="Calibri" w:hAnsi="Calibri"/>
          <w:b/>
          <w:color w:val="4A6B25"/>
          <w:sz w:val="15"/>
        </w:rPr>
        <w:t xml:space="preserve">5. </w:t>
      </w:r>
      <w:r>
        <w:rPr>
          <w:rFonts w:ascii="Calibri" w:hAnsi="Calibri"/>
          <w:b w:val="0"/>
          <w:color w:val="3A4A28"/>
          <w:sz w:val="17"/>
        </w:rPr>
        <w:t>CRH ESG — Sarasin &amp; Partners climate accounting challenge at 2023 AGM, Trinity College Dublin greenwashing criticism, LAPFF engagement on decarbonization credibility, Romania wind farm investment, 2023-2025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