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CRK</w:t>
      </w:r>
      <w:r>
        <w:rPr>
          <w:rFonts w:ascii="Calibri" w:hAnsi="Calibri"/>
          <w:b/>
          <w:color w:val="1A2010"/>
          <w:sz w:val="40"/>
        </w:rPr>
        <w:t xml:space="preserve">  Comstock Resources, Inc.</w:t>
      </w:r>
    </w:p>
    <w:p>
      <w:pPr>
        <w:spacing w:after="120"/>
      </w:pPr>
      <w:r>
        <w:rPr>
          <w:rFonts w:ascii="Calibri" w:hAnsi="Calibri"/>
          <w:b/>
          <w:color w:val="6E8450"/>
          <w:sz w:val="18"/>
        </w:rPr>
        <w:t>GROWTH SLEEVE · 2026-09-07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United States</w:t>
      </w:r>
    </w:p>
    <w:p>
      <w:pPr>
        <w:spacing w:after="80"/>
      </w:pPr>
      <w:r>
        <w:rPr>
          <w:rFonts w:ascii="Calibri" w:hAnsi="Calibri"/>
          <w:b w:val="0"/>
          <w:color w:val="3A4A28"/>
          <w:sz w:val="20"/>
        </w:rPr>
        <w:t>Comstock Resources is a Frisco, Texas-based natural gas exploration and production company with a dominant position in the Haynesville Shale of Northwest Louisiana and the developing Western Haynesville play in East Texas. Dallas Cowboys owner Jerry Jones is the largest shareholder (~71%) with over $1.1B invested. The company's assets sit adjacent to the Gulf Coast LNG corridor and the Dallas-Houston AI data center buildout. Q2 2026 revenue of $353.3M with production of 113,069 MMcf (+16% sequentially), though net income fell sharply to $8.77M due to lower gas prices. H1 2026 revenue of $940.6M. Market cap ~$4.3B.</w:t>
      </w:r>
    </w:p>
    <w:p>
      <w:r>
        <w:rPr>
          <w:rFonts w:ascii="Calibri" w:hAnsi="Calibri"/>
          <w:b/>
          <w:color w:val="6E8450"/>
          <w:sz w:val="18"/>
        </w:rPr>
        <w:t>320 Employees · https://www.comstockresources.com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Q1 2026 revenue of $587.4M (+14.5% YoY) demonstrated the profit potential of the Haynesville assets, though Q2 dropped sharply to $353.3M with net income of just $8.77M as gas prices weakened [1]. The Western Haynesville development represents a major geological and strategic achievement — opening up a new play adjacent to the Gulf Coast LNG corridor and Dallas-Houston data center cluster [2]. Q2 production of 113,069 MMcf grew 16% sequentially, signaling volume recovery even as pricing compressed. AI Deployment (0/2): Comstock does not deploy AI products or report AI-driven cost savings. The company's AI exposure is as a beneficiary of AI data center power demand, not as an AI deployer. Market Share (1/2): Top-5 Haynesville producer with the most acreage in the Western Haynesville play and strategic proximity to the Gulf Coast LNG corridor and Dallas-Houston data center cluster, but natural gas is a commodity without meaningful share differentiation [2]. Pipeline (2/2): The Western Haynesville has been called 'the holy grail of supply' for AI power needs given its proximity to both LNG export terminals and data center load growth [2]. New gas treating plant under development and active exploration of direct-to-data-center power partnerships with NextEra provide specific pipeline visibility. R&amp;D Intensity (0/1): Not applicable; Comstock's edge is geological and operational know-how rather than R&amp;D spend.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CEO Jay Allison, the longest-tenured public oil-and-gas CEO (since 1988, 38 years), has built Comstock around a clearly articulated mission of finding 'the last great play in America' — the Western Haynesville [2]. Described as 'a man of faith who combines humility with quiet boldness,' Allison has built a culture where '100 percent of our team held no distorted view of reality' — a specific, thoughtful, and differentiating purpose that shapes strategic decisions and differentiates from commodity peers. Community Impact (1/2): Comstock's emissions intensity ranks among the lowest in E&amp;P given its natural gas focus, with MiQ methane certification, natural gas-fueled rigs instead of diesel, optical gas imaging leak detection, and approximately 30% reduction in freshwater use for hydraulic fracturing [3]. Responsible-sourcing commitment is genuine. Employee Retention (1/2): Allison's legendary 38-year CEO tenure and the cohesive Allison-Jones partnership signal extraordinary leadership continuity for the ~320-employee company [2]. The team's stability through multiple gas price cycles (including the sharp Q2 2026 downturn) demonstrates resilience. Insider Buying (2/2): Jerry Jones made an additional $100M investment purchasing 573,433 shares, increasing his ownership to approximately 203.5 million shares (~71% of outstanding) on top of his $1.1B+ cumulative investment [4]. This is extraordinary insider conviction by the company's controlling shareholder — the most significant insider commitment in the E&amp;P sector.</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The Q2 2026 earnings collapse (net income $8.77M vs $124.84M a year ago) materially deteriorated the financial profile [1]. ROE declined to 15.87% (scoring 1.0, 2x weight) from 24.24% as trailing earnings normalized, though still exceeding the 15% target [5]. Profit margin compressed to 17.82% (scoring 0.89) from 31.20% as gas prices fell. D/E increased to 123% ($3.7B debt, scoring 0.77) reflecting continued capital investment in the Western Haynesville development [5]. Revenue growth turned negative on an H1 2026 vs H1 2025 basis (-4.3%, scoring 0.52) as the Q2 gas price downturn offset Q1 strength. Forward P/E of 23.64 scores 0.91, reflecting elevated earnings uncertainty. The critical drag is the Forward PEG of ~4.6 (scoring 0 with 2x weight) as the market prices in significant earnings normalization from peak gas levels. 5yr revenue CAGR of ~5% scores 0.67 (2x weight), constrained by commodity price cyclicality. Weighted sum: 6.40/10, rounding to 6. Liquidity passes: ~2.6M avg volume x $14.72 = $38.3M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Comstock under Jay Allison (longest-tenured public E&amp;P CEO, 38 years) and Jerry Jones (~71% owner with $1.1B+ committed) is playing a generational bet on the Western Haynesville — the kind of multi-decade patient capital allocation rare in commodity E&amp;P. The culture Allison has built, grounded in intellectual honesty and faith-driven humility, is distinctive. The Q2 2026 earnings collapse ($8.77M net income vs $124.84M a year ago) tests this conviction, but production growth (+16% sequentially) suggests the operational thesis remains intact even as gas prices weaken.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Allison's articulation of finding 'the last great play in America' — the Western Haynesville to fuel US LNG exports and AI data centers — is a clear, durable, and societally relevant cause that connects natural gas production to America's energy security and AI infrastructure buildout [2]. Jerry Jones's $1.1B+ personal commitment validates the vision's credibility. However, the cause hasn't been tested through leadership transition (Allison is 38 years in with no successor named), and it remains centered on resource extraction rather than a broader future state.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Allison's emphasis that '100 percent of our team held no distorted view of reality' and his renowned operational intensity speak to a culture of intellectual honesty rare in E&amp;P [2]. The stable Allison-Jones partnership, 38-year CEO tenure, and the team's continued execution through Q2's earnings collapse (maintaining production growth despite price weakness) suggest organizational resilience. But the 320-employee company has limited public data on broader organizational trust dynamics.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Comstock competes with Expand Energy (Chesapeake/Southwestern), EQT, Range Resources, and Antero, plus private Haynesville operators Aethon and BPX. No evidence of management commentary acknowledging rivals' strengths or framing competition as a motivation for self-improvement. The competitive language focuses on acreage position, well economics, and cost structure rather than learning from peers.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Western Haynesville development and active exploration of NextEra power-generation partnerships to directly serve AI data centers could represent a genuine business model evolution from pure commodity producer to contracted energy supplier [2]. Legacy asset sales (including the Q2 2026 asset sale) to fund the new play demonstrate capital reallocation discipline. However, the company has been singularly focused on Haynesville natural gas for decades — no transformative reinvention of the core business model.</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Jerry Jones's $1.1B+ personal capital commitment and additional $100M investment to fund the Western Haynesville development, plus Allison's willingness to sell legacy assets and suspend the dividend to concentrate resources on the next-generation play, represent extraordinary conviction [2][4]. The Q2 2026 earnings collapse (net income from $124.84M to $8.77M) tests this courage, but both Jones and Allison remain committed to the multi-year Western Haynesville development thesis rather than retreating to preserve near-term earnings. Few public E&amp;P companies demonstrate this level of personal capital risk alongside operational conviction during commodity price volatility.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Comstock Resources is a uniquely positioned natural gas play at the intersection of AI data center power demand and Gulf Coast LNG exports. Q1 2026 delivered $587.4M revenue (+14.5% YoY) with strong profitability, though Q2 dropped sharply to $353.3M with net income of just $8.77M as gas prices weakened [1]. Q2 production of 113,069 MMcf (+16% sequentially) demonstrates operational momentum even as pricing compresses. CEO Jay Allison, the longest-tenured public E&amp;P CEO (38 years) and a man of faith, has built the company around 'the last great play in America' — the Western Haynesville, which sits between the Dallas-Houston AI data center cluster and Gulf Coast LNG terminals [2]. Jerry Jones's $1.1B+ cumulative investment (~71% ownership) with an additional $100M recent purchase represents extraordinary insider conviction [4]. The Western Haynesville's new gas treating plant and potential NextEra power partnership for direct data center supply could transform Comstock from a volatile commodity producer into a contracted energy supplier. Faith alignment score of 39 (ALIGNED) with zero negative attributions is distinctive in the energy sector.</w:t>
      </w:r>
    </w:p>
    <w:p>
      <w:pPr>
        <w:spacing w:after="120"/>
      </w:pPr>
      <w:r>
        <w:rPr>
          <w:rFonts w:ascii="Calibri" w:hAnsi="Calibri"/>
          <w:b w:val="0"/>
          <w:color w:val="3A4A28"/>
          <w:sz w:val="20"/>
        </w:rPr>
        <w:t>The bear case centers on natural gas price volatility and the sustainability of profitability. Q2 2026 exposed the earnings vulnerability: net income collapsed from $124.84M to $8.77M YoY as gas prices weakened, compressing ROE from 24%+ to under 16% and profit margin from 31% to 18% [1][5]. H1 2026 revenue of $940.6M is running below H1 2025's $983.1M (-4.3%) despite production recovery. D/E increased to 123% ($3.7B debt) as the capital-intensive Western Haynesville development continues, and the Forward PEG of ~4.6 signals the market expects significant earnings normalization from any gas price strength [5]. The suspended dividend means investors are entirely dependent on gas price recovery and production growth for returns. Concentrated ownership by Jerry Jones (~71%) limits float and creates governance dynamics where minority shareholders ride alongside Jones's strategic preferences, with no clear succession plan for the 38-year-tenure CEO. ESG access-to-capital pressure on natural gas E&amp;P remains a structural headwind despite the MiQ methane certification, and any regulatory tightening on fracking or carbon capture could increase compliance costs for the Haynesville operations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Western Haynesville production ramp with new gas treating plant coming online, validating the 'last great play' thesis and converting exploration acreage into proved reserves and sustained production growth [2]</w:t>
      </w:r>
    </w:p>
    <w:p>
      <w:pPr>
        <w:spacing w:before="40" w:after="40"/>
        <w:ind w:left="283"/>
      </w:pPr>
      <w:r>
        <w:rPr>
          <w:rFonts w:ascii="Calibri" w:hAnsi="Calibri"/>
          <w:b/>
          <w:color w:val="4A6B25"/>
          <w:sz w:val="20"/>
        </w:rPr>
        <w:t xml:space="preserve">2. </w:t>
      </w:r>
      <w:r>
        <w:rPr>
          <w:rFonts w:ascii="Calibri" w:hAnsi="Calibri"/>
          <w:b w:val="0"/>
          <w:color w:val="3A4A28"/>
          <w:sz w:val="20"/>
        </w:rPr>
        <w:t>Direct-to-data-center power offtake or NextEra partnership signing, converting volatile commodity gas revenue into contracted, higher-multiple recurring revenue at the intersection of AI power demand [2]</w:t>
      </w:r>
    </w:p>
    <w:p>
      <w:pPr>
        <w:spacing w:before="40" w:after="40"/>
        <w:ind w:left="283"/>
      </w:pPr>
      <w:r>
        <w:rPr>
          <w:rFonts w:ascii="Calibri" w:hAnsi="Calibri"/>
          <w:b/>
          <w:color w:val="4A6B25"/>
          <w:sz w:val="20"/>
        </w:rPr>
        <w:t xml:space="preserve">3. </w:t>
      </w:r>
      <w:r>
        <w:rPr>
          <w:rFonts w:ascii="Calibri" w:hAnsi="Calibri"/>
          <w:b w:val="0"/>
          <w:color w:val="3A4A28"/>
          <w:sz w:val="20"/>
        </w:rPr>
        <w:t>Sustained natural gas price recovery driven by LNG export expansion (Plaquemines, Golden Pass, CP2 terminals) and AI data center load growth, leveraging Comstock's strategic Gulf Coast and Dallas-Houston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Natural gas price volatility — Q2 2026 demonstrated the earnings fragility as net income collapsed 93% YoY to $8.77M, and any sustained gas price weakness below $3.00/Mcf would strain the capital-intensive Western Haynesville development program [1]</w:t>
      </w:r>
    </w:p>
    <w:p>
      <w:pPr>
        <w:spacing w:before="40" w:after="40"/>
        <w:ind w:left="283"/>
      </w:pPr>
      <w:r>
        <w:rPr>
          <w:rFonts w:ascii="Calibri" w:hAnsi="Calibri"/>
          <w:b/>
          <w:color w:val="4A6B25"/>
          <w:sz w:val="20"/>
        </w:rPr>
        <w:t xml:space="preserve">2. </w:t>
      </w:r>
      <w:r>
        <w:rPr>
          <w:rFonts w:ascii="Calibri" w:hAnsi="Calibri"/>
          <w:b w:val="0"/>
          <w:color w:val="3A4A28"/>
          <w:sz w:val="20"/>
        </w:rPr>
        <w:t>Elevated leverage at 123% D/E ($3.7B debt) with no dividend and suspended distributions, creating financial stress risk if gas prices remain weak during the peak capex phase of Western Haynesville development [5]</w:t>
      </w:r>
    </w:p>
    <w:p>
      <w:pPr>
        <w:spacing w:before="40" w:after="40"/>
        <w:ind w:left="283"/>
      </w:pPr>
      <w:r>
        <w:rPr>
          <w:rFonts w:ascii="Calibri" w:hAnsi="Calibri"/>
          <w:b/>
          <w:color w:val="4A6B25"/>
          <w:sz w:val="20"/>
        </w:rPr>
        <w:t xml:space="preserve">3. </w:t>
      </w:r>
      <w:r>
        <w:rPr>
          <w:rFonts w:ascii="Calibri" w:hAnsi="Calibri"/>
          <w:b w:val="0"/>
          <w:color w:val="3A4A28"/>
          <w:sz w:val="20"/>
        </w:rPr>
        <w:t>CEO succession risk — Jay Allison's 38-year tenure is both a strength and a vulnerability, with no named successor and no plan disclosed for leadership transition of a company whose culture and strategy are deeply tied to one individual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Natural gas E&amp;P is structurally immune to AI disruption — drilling wells, extracting methane molecules, and managing physical infrastructure are operations AI cannot substitute [2]. Critically, AI data centers require enormous power — much of it from natural gas — meaning AI deployment directly increases demand for Comstock's core product. The Western Haynesville sits between Dallas and Houston, the densest US cluster of new AI data center development, and adjacent to the Gulf Coast LNG export corridor, making it one of the most strategically located natural gas assets in the country [2]. No analyst has identified AI as a disruption risk; the consensus view is that AI is a demand tailwind. AI Opportunity (0/1): Comstock does not generate revenue from AI products or services. The AI data center demand tailwind is captured as a structural advantage within the risk protection framework, not as direct AI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Comstock Resources Q2 2026 Earnings — $353.3M Revenue, $8.77M Net Income (vs $124.84M YoY), 113,069 MMcf Production (+16% QoQ), Q1 2026 Revenue $587.4M (+14.5% YoY), H1 Revenue $940.6M — SEC 8-K, July 2026</w:t>
      </w:r>
    </w:p>
    <w:p>
      <w:pPr>
        <w:spacing w:before="20" w:after="20"/>
        <w:ind w:left="170"/>
      </w:pPr>
      <w:r>
        <w:rPr>
          <w:rFonts w:ascii="Calibri" w:hAnsi="Calibri"/>
          <w:b/>
          <w:color w:val="4A6B25"/>
          <w:sz w:val="15"/>
        </w:rPr>
        <w:t xml:space="preserve">2. </w:t>
      </w:r>
      <w:r>
        <w:rPr>
          <w:rFonts w:ascii="Calibri" w:hAnsi="Calibri"/>
          <w:b w:val="0"/>
          <w:color w:val="3A4A28"/>
          <w:sz w:val="17"/>
        </w:rPr>
        <w:t>D CEO Magazine / Yahoo Finance — 'The Last Great Play,' Jay Allison and Jerry Jones Western Haynesville Bet, NextEra Partnership Exploration, Strategic AI Data Center and LNG Corridor Proximity, 2025-2026</w:t>
      </w:r>
    </w:p>
    <w:p>
      <w:pPr>
        <w:spacing w:before="20" w:after="20"/>
        <w:ind w:left="170"/>
      </w:pPr>
      <w:r>
        <w:rPr>
          <w:rFonts w:ascii="Calibri" w:hAnsi="Calibri"/>
          <w:b/>
          <w:color w:val="4A6B25"/>
          <w:sz w:val="15"/>
        </w:rPr>
        <w:t xml:space="preserve">3. </w:t>
      </w:r>
      <w:r>
        <w:rPr>
          <w:rFonts w:ascii="Calibri" w:hAnsi="Calibri"/>
          <w:b w:val="0"/>
          <w:color w:val="3A4A28"/>
          <w:sz w:val="17"/>
        </w:rPr>
        <w:t>Comstock Resources ESG — MiQ Methane Certification, Gas-Fueled Rigs, 30% Freshwater Reduction, Optical Gas Imaging Leak Detection — comstockresources.com, 2025-2026</w:t>
      </w:r>
    </w:p>
    <w:p>
      <w:pPr>
        <w:spacing w:before="20" w:after="20"/>
        <w:ind w:left="170"/>
      </w:pPr>
      <w:r>
        <w:rPr>
          <w:rFonts w:ascii="Calibri" w:hAnsi="Calibri"/>
          <w:b/>
          <w:color w:val="4A6B25"/>
          <w:sz w:val="15"/>
        </w:rPr>
        <w:t xml:space="preserve">4. </w:t>
      </w:r>
      <w:r>
        <w:rPr>
          <w:rFonts w:ascii="Calibri" w:hAnsi="Calibri"/>
          <w:b w:val="0"/>
          <w:color w:val="3A4A28"/>
          <w:sz w:val="17"/>
        </w:rPr>
        <w:t>Investing.com — Jerry Jones Additional $100M Investment (573,433 Shares), Cumulative $1.1B+, ~203.5M Shares (~71% Ownership),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 CRK Key Statistics: Stock Price $14.72, PE 16.30, Forward PE 23.64, PEG 4.64, D/E 123%, ROE 15.87%, Profit Margin 17.82%,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