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CRMD</w:t>
      </w:r>
      <w:r>
        <w:rPr>
          <w:rFonts w:ascii="Calibri" w:hAnsi="Calibri"/>
          <w:b/>
          <w:color w:val="1A2010"/>
          <w:sz w:val="40"/>
        </w:rPr>
        <w:t xml:space="preserve">  CorMedix Inc.</w:t>
      </w:r>
    </w:p>
    <w:p>
      <w:pPr>
        <w:spacing w:after="120"/>
      </w:pPr>
      <w:r>
        <w:rPr>
          <w:rFonts w:ascii="Calibri" w:hAnsi="Calibri"/>
          <w:b/>
          <w:color w:val="6E8450"/>
          <w:sz w:val="18"/>
        </w:rPr>
        <w:t>GROWTH SLEEVE · 2026-09-05 · Inspire: 35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Specialty Pharma · NASDAQ · United States</w:t>
      </w:r>
    </w:p>
    <w:p>
      <w:pPr>
        <w:spacing w:after="80"/>
      </w:pPr>
      <w:r>
        <w:rPr>
          <w:rFonts w:ascii="Calibri" w:hAnsi="Calibri"/>
          <w:b w:val="0"/>
          <w:color w:val="3A4A28"/>
          <w:sz w:val="20"/>
        </w:rPr>
        <w:t>CorMedix Inc. is a diversified specialty pharmaceutical company focused on institutional settings of care. Its lead product DefenCath (taurolidine/heparin catheter lock solution) is the only FDA-approved antimicrobial catheter lock solution, reducing catheter-related bloodstream infections by 71% in hemodialysis patients. Following the August 2025 acquisition of Melinta Therapeutics, CorMedix also commercializes REZZAYO (rezafungin), MINOCIN, VABOMERE, ORBACTIV, BAXDELA, and KIMYRSA — a portfolio of hospital-focused anti-infective products. Q2 2026 DefenCath revenue was $66.1M (down from Q1's $97.5M) as TDAPA reimbursement transition took effect July 1, 2026. FY2026 revenue guidance maintained at $325-345M with raised EBITDA guidance of $125-140M.</w:t>
      </w:r>
    </w:p>
    <w:p>
      <w:r>
        <w:rPr>
          <w:rFonts w:ascii="Calibri" w:hAnsi="Calibri"/>
          <w:b/>
          <w:color w:val="6E8450"/>
          <w:sz w:val="18"/>
        </w:rPr>
        <w:t>191 Employees · https://www.cormedix.com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CorMedix has executed one of the most remarkable commercialization ramp-ups in recent biopharma history, growing from near-zero revenue pre-2024 to $310M in FY2025 and $127.4M in Q1 2026 alone ($97.5M DefenCath + $29.9M Melinta portfolio) — a 226% YoY increase driven by DefenCath adoption after onboarding a large dialysis organization mid-2025 [1][2]. The August 2025 Melinta Therapeutics acquisition transformed CorMedix from a single-product company to a diversified specialty pharma platform with multiple marketed anti-infective products, achieving ~$35M in annualized operational synergies [3]. Q2 2026 DefenCath revenue stepped down to $66.1M as the TDAPA reimbursement transition took effect, but the company raised adjusted EBITDA guidance to $125-140M [2]. AI Deployment (0/2): No AI deployment identified for this specialty pharmaceutical company. Market Share (2/2): DefenCath is a first-in-class catheter lock solution with no direct FDA-approved competitors, giving it effective monopoly positioning in the hemodialysis catheter lock market with access to ~60% of the U.S. outpatient dialysis market through multi-year agreements [1][2]. Product Pipeline (2/2): REZZAYO Phase III ReSPECT trial showed positive topline results (60.7% fungal-free survival vs 59.0% SOC) for HSCT prophylaxis targeting a $2B+ market, with sNDA submission planned H2 2026 [4]. DefenCath expansion studies ongoing for Total Parenteral Nutrition (Phase 3, completion 2028) and transplant-related indication (Phase 3 data April 2026). 2027 DefenCath sales projected at $100-140M at higher net selling price [2]. R&amp;D Intensity (1/1): Active clinical programs across multiple indications including REZZAYO prophylaxis, DefenCath TPN, and DefenCath pediatric studies.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CorMedix's purpose of preventing life-threatening infections in the most vulnerable patient populations — hemodialysis patients dependent on central venous catheters and immunocompromised patients at risk of invasive fungal disease — is specific, thoughtful, and directly connected to saving lives [1][2]. Catheter-related bloodstream infections are a leading cause of morbidity and mortality in hemodialysis patients, and DefenCath is the only FDA-approved solution specifically designed to prevent them. REZZAYO addresses invasive fungal infections in transplant patients. The mission differentiates from generic pharmaceutical companies. However, CorMedix was founded in 2006 and only recently achieved commercial success — the mission has not been validated through decades of consistent execution and leadership transitions. Community Impact (1/2): DefenCath directly improves outcomes for ~500,000 U.S. hemodialysis patients, many from underserved populations [2]. The expanded Melinta portfolio serves hospital-based anti-infective needs. No standalone community investment programs identified. Employee Retention (1/2): Small team of 191 employees navigating extraordinary growth from pre-revenue to $127M+ quarterly revenue, successfully integrating Melinta's commercial operations with ~$35M in synergies [3]. CEO Joseph Todisco's expanded role (chairman and CEO) demonstrates leadership commitment, though the departure of a senior exec introduced transition risk. Insider Buying (0/2): No notable recent insider buying activity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CorMedix's financial profile is exceptionally strong for a growth-stage specialty pharma: D/E of 33.7% reflects conservative financing well below the 70% target [5]. ROE of 65.59% demonstrates high capital efficiency driven by DefenCath's premium pricing [5]. Revenue growth of 226.1% YoY is extraordinary, reflecting the commercial ramp from near-zero. Profit margin of 45.25% is outstanding, reflecting DefenCath's 94% gross margin structure [5]. The primary drag is the forward P/E of 23.71, which reflects expected TDAPA reimbursement headwinds compressing margins in H2 2026 — well above the 20x target [5]. The TDAPA transition (July 1, 2026) is now in effect, and Q2 2026 DefenCath revenue declined 32% sequentially to $66.1M, though the company raised EBITDA guidance to $125-140M [2]. Operating cash flow of $74.97M TTM and FCF of $74.42M demonstrate genuine cash generation [5]. Liquidity floor cleared at ~$10.5M daily notional volume with 1.33M average daily volume at $7.90.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CorMedix demonstrates meaningful infinite game qualities through its decade-long commitment to bringing DefenCath from concept through clinical trials to successful commercialization — a journey requiring patience, persistence, and belief in the clinical mission when financial results were absent. The Melinta acquisition and REZZAYO prophylaxis expansion show strategic ambition beyond a single-product model. However, the company's small size (191 employees), reimbursement dependency (TDAPA transition now in effect), DefenCath revenue concentration, and recent leadership restructuring create vulnerability to external forces that constrain infinite game positioning.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CorMedix's mission of preventing life-threatening infections in vulnerable patient populations is genuinely purposeful [1][2]. Catheter-related bloodstream infections kill thousands of hemodialysis patients annually, and DefenCath is the only FDA-approved solution specifically designed to prevent them. The expansion into invasive fungal disease prophylaxis (REZZAYO) and the broader Melinta anti-infective portfolio further validate the infection prevention mission. The decade-long development journey from pre-clinical to commercial success demonstrates purpose-driven persistence. However, the company was founded in 2006 and only recently achieved commercial success — the cause has not survived leadership transitions or decades of crisis to earn the maximum score.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191 employees, CorMedix's team has navigated extraordinary growth — from a pre-revenue development-stage company to $500M+ annualized revenue specialty pharma. The successful Melinta integration (~$35M in synergies) required effective team coordination across two organizations [3]. CEO Joseph Todisco's expanded role as chairman demonstrates leadership continuity. However, the departure of a senior executive during the leadership restructuring introduces transition risk, the small size limits organizational depth, and no specific employee engagement metrics or cultural programs were publicly reported.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DefenCath has no direct FDA-approved competitors, limiting the traditional worthy rivals dynamic [2]. While Pfizer and Amphastar have the scale and capabilities to potentially enter the CRBSI prevention market, CorMedix has not publicly articulated how it views or learns from these potential competitors. In the broader anti-infective market (Melinta portfolio), the company competes with Pfizer, Merck, and Shionogi but no evidence of learning-oriented competitive framing was found.</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CorMedix executed a transformative pivot in 2025, evolving from a single-product company (DefenCath) to a diversified specialty pharma platform through the Melinta acquisition, tripling the product portfolio and expanding the commercial team [3]. This demonstrated willingness to fundamentally change the business model in service of the broader infection prevention mission. The REZZAYO prophylaxis expansion targeting a $2B+ market represents another potential business model transformation [4]. The company is now pursuing DefenCath expansion into TPN and transplant indications. These pivots were driven by the core mission rather than desperation.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CorMedix bet the company on DefenCath through a decade of clinical development, FDA review, and commercialization without revenue — a genuinely courageous bet requiring faith in the clinical mission [1][2]. The Melinta acquisition was bold for a company of CorMedix's size, tripling the product portfolio and employee count during the critical commercial ramp phase. Pursuing REZZAYO prophylaxis sNDA (H2 2026) while managing the TDAPA reimbursement transition demonstrates willingness to invest in long-term growth during near-term margin pressure [4]. CEO Todisco's assumption of the chairman role signals long-term commitment.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CorMedix has executed one of the most impressive commercialization stories in recent biopharma: DefenCath revenue ramped from near-zero to $310M in FY2025, and the Melinta acquisition added a diversified anti-infective portfolio bringing Q1 2026 total revenue to $127.4M with $38.6M net income and $70.0M adjusted EBITDA [1]. The company raised 2026 adjusted EBITDA guidance to $125-140M (from $115-135M) reflecting confidence in operating leverage even through the TDAPA transition [2]. D/E of 33.7% is conservative, ROE of 65.59% is exceptional, and profit margin of 45.25% reflects DefenCath's 94% gross margin structure [5]. DefenCath's first-in-class positioning with no direct FDA-approved competitors and multi-year agreements covering ~60% of the U.S. outpatient dialysis market provides pricing power and market dominance [2]. REZZAYO's positive Phase III prophylaxis data targeting a $2B+ market could be transformative if sNDA is approved in 2027 [4].</w:t>
      </w:r>
    </w:p>
    <w:p>
      <w:pPr>
        <w:spacing w:after="120"/>
      </w:pPr>
      <w:r>
        <w:rPr>
          <w:rFonts w:ascii="Calibri" w:hAnsi="Calibri"/>
          <w:b w:val="0"/>
          <w:color w:val="3A4A28"/>
          <w:sz w:val="20"/>
        </w:rPr>
        <w:t>The critical near-term headwind is the DefenCath TDAPA reimbursement transition (effective July 1, 2026) that compressed Q2 2026 DefenCath revenue to $66.1M — a 32% sequential decline from Q1's $97.5M [2]. CMS now uses an older utilization period described by management as 'subpar,' reducing net pricing in H2 2026 and creating margin compression uncertainty. The jump from trailing P/E of 3.95 to forward P/E of 23.71 directly reflects this expected compression [5]. The stock has declined 32.5% over 52 weeks as the market prices in the TDAPA headwind. Management projects 2027 DefenCath sales of $100-140M at a higher net selling price, but this represents a significant step-down from the peak run rate, and execution risk is elevated during the pricing transition [2]. Q1 2026 included a non-recurring $9.0M benefit from a sales allowance change that inflated the baseline [1]. Customer concentration in a small number of large dialysis organizations creates revenue fragility. REZZAYO Phase III showed only marginal efficacy improvement (60.7% vs 59.0% fungal-free survival) that may face regulatory scrutiny despite meeting endpoints [4]. The Inspiration score of 5/10 reflects that while the infection prevention mission is genuine, the company's organizational purpose has not been tested through decades of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REZZAYO sNDA submission for invasive fungal disease prophylaxis in H2 2026 targeting a $2B+ U.S. market, with potential approval creating a second major revenue pillar that diversifies away from DefenCath TDAPA dependency [4]</w:t>
      </w:r>
    </w:p>
    <w:p>
      <w:pPr>
        <w:spacing w:before="40" w:after="40"/>
        <w:ind w:left="283"/>
      </w:pPr>
      <w:r>
        <w:rPr>
          <w:rFonts w:ascii="Calibri" w:hAnsi="Calibri"/>
          <w:b/>
          <w:color w:val="4A6B25"/>
          <w:sz w:val="20"/>
        </w:rPr>
        <w:t xml:space="preserve">2. </w:t>
      </w:r>
      <w:r>
        <w:rPr>
          <w:rFonts w:ascii="Calibri" w:hAnsi="Calibri"/>
          <w:b w:val="0"/>
          <w:color w:val="3A4A28"/>
          <w:sz w:val="20"/>
        </w:rPr>
        <w:t>DefenCath net selling price recovery in 2027 with management projecting $100-140M at higher net pricing, and volume growth from onboarding remaining large dialysis organizations and expanding Medicare Advantage contracting [2]</w:t>
      </w:r>
    </w:p>
    <w:p>
      <w:pPr>
        <w:spacing w:before="40" w:after="40"/>
        <w:ind w:left="283"/>
      </w:pPr>
      <w:r>
        <w:rPr>
          <w:rFonts w:ascii="Calibri" w:hAnsi="Calibri"/>
          <w:b/>
          <w:color w:val="4A6B25"/>
          <w:sz w:val="20"/>
        </w:rPr>
        <w:t xml:space="preserve">3. </w:t>
      </w:r>
      <w:r>
        <w:rPr>
          <w:rFonts w:ascii="Calibri" w:hAnsi="Calibri"/>
          <w:b w:val="0"/>
          <w:color w:val="3A4A28"/>
          <w:sz w:val="20"/>
        </w:rPr>
        <w:t>DefenCath clinical expansion into Total Parenteral Nutrition (Phase 3, completion 2028) and transplant indications (Phase 3 data April 2026), broadening the addressable market beyond hemodialysis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DefenCath TDAPA reimbursement compression now in effect, with Q2 2026 revenue declining 32% sequentially to $66.1M — magnitude of sustained margin impact is uncertain and net pricing recovery timeline to 2027 higher levels is not guaranteed [2]</w:t>
      </w:r>
    </w:p>
    <w:p>
      <w:pPr>
        <w:spacing w:before="40" w:after="40"/>
        <w:ind w:left="283"/>
      </w:pPr>
      <w:r>
        <w:rPr>
          <w:rFonts w:ascii="Calibri" w:hAnsi="Calibri"/>
          <w:b/>
          <w:color w:val="4A6B25"/>
          <w:sz w:val="20"/>
        </w:rPr>
        <w:t xml:space="preserve">2. </w:t>
      </w:r>
      <w:r>
        <w:rPr>
          <w:rFonts w:ascii="Calibri" w:hAnsi="Calibri"/>
          <w:b w:val="0"/>
          <w:color w:val="3A4A28"/>
          <w:sz w:val="20"/>
        </w:rPr>
        <w:t>Customer concentration risk: DefenCath revenue is heavily dependent on a small number of large dialysis organizations (multi-year agreements cover ~60% of outpatient market), and loss of any major customer could materially impact results [1][2]</w:t>
      </w:r>
    </w:p>
    <w:p>
      <w:pPr>
        <w:spacing w:before="40" w:after="40"/>
        <w:ind w:left="283"/>
      </w:pPr>
      <w:r>
        <w:rPr>
          <w:rFonts w:ascii="Calibri" w:hAnsi="Calibri"/>
          <w:b/>
          <w:color w:val="4A6B25"/>
          <w:sz w:val="20"/>
        </w:rPr>
        <w:t xml:space="preserve">3. </w:t>
      </w:r>
      <w:r>
        <w:rPr>
          <w:rFonts w:ascii="Calibri" w:hAnsi="Calibri"/>
          <w:b w:val="0"/>
          <w:color w:val="3A4A28"/>
          <w:sz w:val="20"/>
        </w:rPr>
        <w:t>Stock down 32.5% over 52 weeks as market prices in TDAPA headwinds and revenue normalization from peak Q1 2026 levels, with forward PE of 23.71x reflecting expected earnings compression that limits near-term valuation upside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CorMedix's business is among the most AI-insulated in healthcare. DefenCath is a physical pharmaceutical product (taurolidine/heparin solution) requiring FDA approval, GMP manufacturing, and physical distribution to dialysis centers — none of which AI can substitute [1][2]. The catheter lock solution market demands deep regulatory expertise, clinical trial infrastructure, and established distribution relationships with large dialysis organizations. REZZAYO (IV antifungal) and the Melinta anti-infective portfolio face identical physical and regulatory barriers to AI disruption. Hospital procurement and formulary access involve human relationship-driven sales processes that AI augments but cannot replace. The only modest risk is that AI-driven drug discovery could accelerate competitor development of alternative catheter lock solutions or antifungal therapies, but DefenCath's first-mover advantage and multi-year customer agreements provide durable protection [2]. AI Opportunity (0/1): No AI-driven revenue or differentiated AI deployment. AI could accelerate clinical trial design for pipeline expansion but has not been deployed in a revenue-generating capacity.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CorMedix Q1 2026 Earnings — Revenue $127.4M ($97.5M DefenCath + $29.9M Melinta), Net Income $38.6M, Adj EBITDA $70.0M, Raised 2026 Guidance — BioSpace, Benzinga, May 2026</w:t>
      </w:r>
    </w:p>
    <w:p>
      <w:pPr>
        <w:spacing w:before="20" w:after="20"/>
        <w:ind w:left="170"/>
      </w:pPr>
      <w:r>
        <w:rPr>
          <w:rFonts w:ascii="Calibri" w:hAnsi="Calibri"/>
          <w:b/>
          <w:color w:val="4A6B25"/>
          <w:sz w:val="15"/>
        </w:rPr>
        <w:t xml:space="preserve">2. </w:t>
      </w:r>
      <w:r>
        <w:rPr>
          <w:rFonts w:ascii="Calibri" w:hAnsi="Calibri"/>
          <w:b w:val="0"/>
          <w:color w:val="3A4A28"/>
          <w:sz w:val="17"/>
        </w:rPr>
        <w:t>CorMedix Q2 2026 Earnings — DefenCath Revenue $66.1M (-32% QoQ), EBITDA Guidance Raised to $125-140M, Revenue Maintained $325-345M, 2027 DefenCath Projection $100-140M — BioSpace, August 2026</w:t>
      </w:r>
    </w:p>
    <w:p>
      <w:pPr>
        <w:spacing w:before="20" w:after="20"/>
        <w:ind w:left="170"/>
      </w:pPr>
      <w:r>
        <w:rPr>
          <w:rFonts w:ascii="Calibri" w:hAnsi="Calibri"/>
          <w:b/>
          <w:color w:val="4A6B25"/>
          <w:sz w:val="15"/>
        </w:rPr>
        <w:t xml:space="preserve">3. </w:t>
      </w:r>
      <w:r>
        <w:rPr>
          <w:rFonts w:ascii="Calibri" w:hAnsi="Calibri"/>
          <w:b w:val="0"/>
          <w:color w:val="3A4A28"/>
          <w:sz w:val="17"/>
        </w:rPr>
        <w:t>CorMedix Melinta Acquisition and Integration — ~$35M Annualized Synergies, Leadership Restructuring, CEO Todisco as Chairman — GlobeNewsWire, TipRanks, January 2026</w:t>
      </w:r>
    </w:p>
    <w:p>
      <w:pPr>
        <w:spacing w:before="20" w:after="20"/>
        <w:ind w:left="170"/>
      </w:pPr>
      <w:r>
        <w:rPr>
          <w:rFonts w:ascii="Calibri" w:hAnsi="Calibri"/>
          <w:b/>
          <w:color w:val="4A6B25"/>
          <w:sz w:val="15"/>
        </w:rPr>
        <w:t xml:space="preserve">4. </w:t>
      </w:r>
      <w:r>
        <w:rPr>
          <w:rFonts w:ascii="Calibri" w:hAnsi="Calibri"/>
          <w:b w:val="0"/>
          <w:color w:val="3A4A28"/>
          <w:sz w:val="17"/>
        </w:rPr>
        <w:t>CorMedix REZZAYO Phase III ReSPECT Results — 60.7% Fungal-Free Survival vs 59.0% SOC, sNDA Planned H2 2026, $2B+ Market — StockTitan, April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CRMD Key Statistics: Forward P/E 23.71, Trailing P/E 3.95, ROE 65.59%, D/E 33.7%, Profit Margin 45.25%, Stock Price $7.90,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