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CSTE</w:t>
      </w:r>
      <w:r>
        <w:rPr>
          <w:rFonts w:ascii="Calibri" w:hAnsi="Calibri"/>
          <w:b/>
          <w:color w:val="1A2010"/>
          <w:sz w:val="40"/>
        </w:rPr>
        <w:t xml:space="preserve">  Caesarstone Ltd.</w:t>
      </w:r>
    </w:p>
    <w:p>
      <w:pPr>
        <w:spacing w:after="120"/>
      </w:pPr>
      <w:r>
        <w:rPr>
          <w:rFonts w:ascii="Calibri" w:hAnsi="Calibri"/>
          <w:b/>
          <w:color w:val="6E8450"/>
          <w:sz w:val="18"/>
        </w:rPr>
        <w:t>GROWTH SLEEVE · 2026-09-29 · Inspire: 58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Building Products &amp; Equipment · NASDAQ · Israel</w:t>
      </w:r>
    </w:p>
    <w:p>
      <w:pPr>
        <w:spacing w:after="80"/>
      </w:pPr>
      <w:r>
        <w:rPr>
          <w:rFonts w:ascii="Calibri" w:hAnsi="Calibri"/>
          <w:b w:val="0"/>
          <w:color w:val="3A4A28"/>
          <w:sz w:val="20"/>
        </w:rPr>
        <w:t>Caesarstone designs, manufactures, and markets premium quartz and porcelain surfaces for kitchen countertops, bathroom vanities, and other interior applications. The company operates manufacturing facilities in Israel, the U.S., and India, selling through fabricators, distributors, and retailers globally with approximately 44% of revenue from the U.S. H1 2026 revenue totaled $185.3M (down ~8% YoY) with continued operating losses as the company navigates weak residential construction demand, tariff headwinds, and competitive pressure.</w:t>
      </w:r>
    </w:p>
    <w:p>
      <w:r>
        <w:rPr>
          <w:rFonts w:ascii="Calibri" w:hAnsi="Calibri"/>
          <w:b/>
          <w:color w:val="6E8450"/>
          <w:sz w:val="18"/>
        </w:rPr>
        <w:t>1,266 Employees · https://www.caesarstone.com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Revenue has declined from $523M in FY2022 to approximately $380M TTM, reflecting persistent market share losses to lower-cost competitors and porcelain slab alternatives [1][2]. No transformative product launches or new category entries have reversed the multi-year decline. AI Deployment (0/2): No AI deployment or strategy evident in earnings releases or company communications; the company operates as a traditional building materials manufacturer [1]. Market Share (1/2): Caesarstone retains brand recognition as a premium quartz surface pioneer, but has lost significant share in North America — Q1 2026 revenue fell 14.9% YoY on a constant-currency basis, with only Australia showing relative strength [1]. Product Pipeline (1/2): Expansion into porcelain surfaces via the Lioli acquisition and outdoor applications provides some diversification beyond quartz countertops, though these remain small revenue contributors [2]. R&amp;D Intensity (0/1): No significant R&amp;D investment reported; the company focuses on cost restructuring rather than technology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Caesarstone positions itself as the 'global leader in premium surfaces' — a generic market-position statement interchangeable with any building materials competitor and lacking deeper purpose beyond market leadership [4]. Community Impact (0/2): Published an inaugural ESG report aligned with GRI/SASB/UN SDG standards in 2021, but no specific charitable programs, community investment initiatives, or dollar amounts were identified [4]. Employee Retention (0/2): Glassdoor rating of 2.5/5.0 based on 224 reviews — 28% below the manufacturing industry average — with employee reviews citing 'no sense of ownership' from senior leadership and describing upper management as 'clueless' [3]. Culture and values rated 2.3/5 and career opportunities 2.2/5, signaling deep engagement problems. Insider Buying (1/2): CEO Yos Shiran has maintained leadership since March 2022 through significant stock decline from ~$8 to ~$3, but no meaningful net insider buying activity.</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119,784 shares multiplied by stock price of $2.87 yields daily dollar volume of approximately $344,000, well below the $1,000,000 minimum threshold — Infrastructure score is automatically set to 0 [5]. Underlying metrics are severely impaired regardless: ROE of -81.3% reflects persistent losses, profit margin of -37.4% includes the $51.2M silicosis litigation provision, forward P/E is negative (continued losses expected), and TTM net loss exceeded $140M [1][2][5]. The lone bright spot is the balance sheet — $51.8M cash with no financial debt — but this cushion is eroding as the company burns cash. Gross margin improved to 24.0% in Q2 2026 from 19.6% YoY, suggesting cost restructuring is gaining partial traction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Caesarstone operates in survival mode, managing a multi-year revenue decline from $523M to ~$380M while posting persistent operating losses. CEO Yos Shiran's tenure since 2022 has focused on cost restructuring and margin improvement rather than long-term vision. Glassdoor's 2.5/5 rating and leadership criticism suggest internal culture is strained by ongoing contraction. The company sought tariff protection against Chinese imports rather than improving its competitive position organically — a classic finite-game response.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Caesarstone has operated for over 35 years as a pioneer in engineered quartz surfaces, but leadership communications focus on cost restructuring, margin improvement, and achieving positive adjusted EBITDA — all finite, metric-driven goals [1]. No articulated vision of a better future guides strategic decisions beyond maintaining the existing business. The company's purpose does not inspire sacrifice or long-term commitment.</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rating of 2.5/5.0 is 28% below the manufacturing industry average, with culture and values at 2.3/5 [3]. Employee reviews describe 'no sense of ownership' from senior leadership and upper management as 'clueless and a joke.' The workforce has been significantly reduced through restructuring (from ~2,700 to 1,266 employees), creating an environment of job insecurity incompatible with psychological safety or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Caesarstone's competitive response to share losses from Cambria, Silestone, and Chinese quartz imports has focused on tariff protection and cost reduction rather than learning from rivals' strengths [1]. Seeking trade protection via the August 2026 tariff-rate quota is a finite game response — defending position rather than improving capabilities. The Lioli porcelain acquisition shows some competitive awareness, but the persistent revenue decline suggests the company is losing the competitive battle.</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Lioli porcelain acquisition and expansion into outdoor surfaces demonstrate some willingness to evolve beyond core quartz [2]. Geographic diversification into India manufacturing shows flexibility. However, these incremental moves have not reversed the revenue decline trajectory, and the company remains fundamentally tied to the cyclical residential construction market with no transformative pivot underway.</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CEO Shiran's leadership has focused on cost-cutting and restructuring rather than bold investment in new capabilities or markets [1]. Operating expenses were reduced from $39.1M to $33.4M quarterly, but courage requires more than austerity — it demands investing through cycles. The $51.2M silicosis litigation provision suggests reactive risk management. No visionary strategic bets have been made despite the business facing existential competitive pressures.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Caesarstone's Q2 2026 results showed operational improvement — gross margins expanded to 24.0% from 19.6% YoY and adjusted EBITDA loss narrowed to $1.0M from $6.4M — suggesting cost restructuring under CEO Shiran is gaining traction [1][2]. The company maintains $51.8M cash with no financial debt, providing a runway for turnaround. At $2.87 per share with a $99M market cap, the stock trades at distressed levels that could offer upside if profitability is restored and housing renovation demand recovers.</w:t>
      </w:r>
    </w:p>
    <w:p>
      <w:pPr>
        <w:spacing w:after="120"/>
      </w:pPr>
      <w:r>
        <w:rPr>
          <w:rFonts w:ascii="Calibri" w:hAnsi="Calibri"/>
          <w:b w:val="0"/>
          <w:color w:val="3A4A28"/>
          <w:sz w:val="20"/>
        </w:rPr>
        <w:t>The bear case is decisive. Revenue continues declining (-4.5% reported, -7.7% constant currency in Q2 2026) with no inflection visible, and the August 2026 U.S. tariff-rate quota imposes 25-50% tariffs that paradoxically hurt Caesarstone's Israeli-manufactured product, forcing the company to reassess its EBITDA timeline [1]. The $51.2M silicosis litigation provision signals ongoing legal liability. Daily dollar volume of $344K (well below $1M threshold) makes the stock uninvestable for institutional capital. Glassdoor's 2.5/5 rating reflects a demoralized workforce. With TTM losses exceeding $140M, ROE of -81.3%, profit margin of -37.4%, and no AI strategy, Caesarstone faces existential questions about long-term viability [3][5].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Gross margin improvement trend (19.6% to 24.0% in Q2 2026 YoY) could eventually restore profitability if revenue stabilizes and cost restructuring continues [1][2]</w:t>
      </w:r>
    </w:p>
    <w:p>
      <w:pPr>
        <w:spacing w:before="40" w:after="40"/>
        <w:ind w:left="283"/>
      </w:pPr>
      <w:r>
        <w:rPr>
          <w:rFonts w:ascii="Calibri" w:hAnsi="Calibri"/>
          <w:b/>
          <w:color w:val="4A6B25"/>
          <w:sz w:val="20"/>
        </w:rPr>
        <w:t xml:space="preserve">2. </w:t>
      </w:r>
      <w:r>
        <w:rPr>
          <w:rFonts w:ascii="Calibri" w:hAnsi="Calibri"/>
          <w:b w:val="0"/>
          <w:color w:val="3A4A28"/>
          <w:sz w:val="20"/>
        </w:rPr>
        <w:t>Porcelain surface diversification through Lioli acquisition provides entry to faster-growing market segments and reduces quartz dependence [2]</w:t>
      </w:r>
    </w:p>
    <w:p>
      <w:pPr>
        <w:spacing w:before="40" w:after="40"/>
        <w:ind w:left="283"/>
      </w:pPr>
      <w:r>
        <w:rPr>
          <w:rFonts w:ascii="Calibri" w:hAnsi="Calibri"/>
          <w:b/>
          <w:color w:val="4A6B25"/>
          <w:sz w:val="20"/>
        </w:rPr>
        <w:t xml:space="preserve">3. </w:t>
      </w:r>
      <w:r>
        <w:rPr>
          <w:rFonts w:ascii="Calibri" w:hAnsi="Calibri"/>
          <w:b w:val="0"/>
          <w:color w:val="3A4A28"/>
          <w:sz w:val="20"/>
        </w:rPr>
        <w:t>Potential U.S. housing renovation recovery and interest rate cuts could provide cyclical tailwind to demand after multi-year downturn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Critical illiquidity — daily dollar volume of $344K is well below $1M threshold, creating severe execution risk and limiting the shareholder base to retail investors [5]</w:t>
      </w:r>
    </w:p>
    <w:p>
      <w:pPr>
        <w:spacing w:before="40" w:after="40"/>
        <w:ind w:left="283"/>
      </w:pPr>
      <w:r>
        <w:rPr>
          <w:rFonts w:ascii="Calibri" w:hAnsi="Calibri"/>
          <w:b/>
          <w:color w:val="4A6B25"/>
          <w:sz w:val="20"/>
        </w:rPr>
        <w:t xml:space="preserve">2. </w:t>
      </w:r>
      <w:r>
        <w:rPr>
          <w:rFonts w:ascii="Calibri" w:hAnsi="Calibri"/>
          <w:b w:val="0"/>
          <w:color w:val="3A4A28"/>
          <w:sz w:val="20"/>
        </w:rPr>
        <w:t>U.S. tariff-rate quota effective August 2026 imposing 25-50% tariffs on quartz imports increases Caesarstone's costs on Israeli-manufactured product, forcing reassessment of EBITDA timeline [1]</w:t>
      </w:r>
    </w:p>
    <w:p>
      <w:pPr>
        <w:spacing w:before="40" w:after="40"/>
        <w:ind w:left="283"/>
      </w:pPr>
      <w:r>
        <w:rPr>
          <w:rFonts w:ascii="Calibri" w:hAnsi="Calibri"/>
          <w:b/>
          <w:color w:val="4A6B25"/>
          <w:sz w:val="20"/>
        </w:rPr>
        <w:t xml:space="preserve">3. </w:t>
      </w:r>
      <w:r>
        <w:rPr>
          <w:rFonts w:ascii="Calibri" w:hAnsi="Calibri"/>
          <w:b w:val="0"/>
          <w:color w:val="3A4A28"/>
          <w:sz w:val="20"/>
        </w:rPr>
        <w:t>Silicosis litigation exposure beyond the $51.2M provision already recorded — quartz manufacturing faces growing regulatory and legal scrutiny over silica dust health risks in fabrication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Caesarstone's core business — engineering quartz slabs in high-temperature manufacturing facilities, distributing heavy physical products through fabricator networks, and on-site installation — is structurally insulated from AI disruption [1]. AI cannot manufacture, cut, polish, or install a quartz countertop. The physical supply chain, skilled fabrication, and installation requirements create structural barriers that AI cannot bypass. No analysts flag AI as a risk factor for the quartz surface industry. However, AI-powered procurement platforms could commoditize surface selection and AI-enabled competitors could optimize manufacturing costs, creating marginal competitive pressure. AI Opportunity (0/1): No AI-related revenue, products, or operationally significant deployments evident — the company has not disclosed any AI strategy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Caesarstone Q1 2026 Financial Results — BusinessWire, May 2026</w:t>
      </w:r>
    </w:p>
    <w:p>
      <w:pPr>
        <w:spacing w:before="20" w:after="20"/>
        <w:ind w:left="170"/>
      </w:pPr>
      <w:r>
        <w:rPr>
          <w:rFonts w:ascii="Calibri" w:hAnsi="Calibri"/>
          <w:b/>
          <w:color w:val="4A6B25"/>
          <w:sz w:val="15"/>
        </w:rPr>
        <w:t xml:space="preserve">2. </w:t>
      </w:r>
      <w:r>
        <w:rPr>
          <w:rFonts w:ascii="Calibri" w:hAnsi="Calibri"/>
          <w:b w:val="0"/>
          <w:color w:val="3A4A28"/>
          <w:sz w:val="17"/>
        </w:rPr>
        <w:t>Caesarstone Q2 2026 Financial Results — Nasdaq/BusinessWire, August 2026</w:t>
      </w:r>
    </w:p>
    <w:p>
      <w:pPr>
        <w:spacing w:before="20" w:after="20"/>
        <w:ind w:left="170"/>
      </w:pPr>
      <w:r>
        <w:rPr>
          <w:rFonts w:ascii="Calibri" w:hAnsi="Calibri"/>
          <w:b/>
          <w:color w:val="4A6B25"/>
          <w:sz w:val="15"/>
        </w:rPr>
        <w:t xml:space="preserve">3. </w:t>
      </w:r>
      <w:r>
        <w:rPr>
          <w:rFonts w:ascii="Calibri" w:hAnsi="Calibri"/>
          <w:b w:val="0"/>
          <w:color w:val="3A4A28"/>
          <w:sz w:val="17"/>
        </w:rPr>
        <w:t>Glassdoor — Caesarstone Employee Reviews (224 reviews, 2.5/5.0 rating),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Caesarstone Inaugural ESG Report 2021-2022; corporate website</w:t>
      </w:r>
    </w:p>
    <w:p>
      <w:pPr>
        <w:spacing w:before="20" w:after="20"/>
        <w:ind w:left="170"/>
      </w:pPr>
      <w:r>
        <w:rPr>
          <w:rFonts w:ascii="Calibri" w:hAnsi="Calibri"/>
          <w:b/>
          <w:color w:val="4A6B25"/>
          <w:sz w:val="15"/>
        </w:rPr>
        <w:t xml:space="preserve">5. </w:t>
      </w:r>
      <w:r>
        <w:rPr>
          <w:rFonts w:ascii="Calibri" w:hAnsi="Calibri"/>
          <w:b w:val="0"/>
          <w:color w:val="3A4A28"/>
          <w:sz w:val="17"/>
        </w:rPr>
        <w:t>Yahoo Finance — CSTE key statistics and financial data,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