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371600" cy="7232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7232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40"/>
      </w:pPr>
      <w:r>
        <w:rPr>
          <w:rFonts w:ascii="Calibri" w:hAnsi="Calibri"/>
          <w:b/>
          <w:color w:val="4A6B25"/>
          <w:sz w:val="56"/>
        </w:rPr>
        <w:t>CSTM</w:t>
      </w:r>
      <w:r>
        <w:rPr>
          <w:rFonts w:ascii="Calibri" w:hAnsi="Calibri"/>
          <w:b/>
          <w:color w:val="1A2010"/>
          <w:sz w:val="40"/>
        </w:rPr>
        <w:t xml:space="preserve">  Constellium SE</w:t>
      </w:r>
    </w:p>
    <w:p>
      <w:pPr>
        <w:spacing w:after="120"/>
      </w:pPr>
      <w:r>
        <w:rPr>
          <w:rFonts w:ascii="Calibri" w:hAnsi="Calibri"/>
          <w:b/>
          <w:color w:val="6E8450"/>
          <w:sz w:val="18"/>
        </w:rPr>
        <w:t>GROWTH SLEEVE · 2026-09-11 · Inspire: 64 · MIXED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1200" w:type="dxa"/>
      </w:tblPr>
      <w:tblGrid>
        <w:gridCol w:w="10800"/>
      </w:tblGrid>
      <w:tr>
        <w:tc>
          <w:tcPr>
            <w:tcW w:type="dxa" w:w="10800"/>
            <w:shd w:fill="E3F2FD" w:val="clea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2563EB"/>
                <w:sz w:val="20"/>
              </w:rPr>
              <w:t>WATCH</w:t>
            </w:r>
          </w:p>
        </w:tc>
      </w:tr>
    </w:tbl>
    <w:p>
      <w:pPr>
        <w:spacing w:before="120" w:after="200"/>
      </w:pPr>
      <w:r>
        <w:rPr>
          <w:rFonts w:ascii="Calibri" w:hAnsi="Calibri"/>
          <w:b/>
          <w:color w:val="1A2010"/>
          <w:sz w:val="80"/>
        </w:rPr>
        <w:t>59</w:t>
      </w:r>
      <w:r>
        <w:rPr>
          <w:rFonts w:ascii="Calibri" w:hAnsi="Calibri"/>
          <w:b w:val="0"/>
          <w:color w:val="9DAF88"/>
          <w:sz w:val="28"/>
        </w:rPr>
        <w:t xml:space="preserve"> / </w:t>
      </w:r>
      <w:r>
        <w:rPr>
          <w:rFonts w:ascii="Calibri" w:hAnsi="Calibri"/>
          <w:b w:val="0"/>
          <w:color w:val="9DAF88"/>
          <w:sz w:val="24"/>
        </w:rPr>
        <w:t>100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COMPANY PROFILE</w:t>
            </w:r>
          </w:p>
        </w:tc>
      </w:tr>
    </w:tbl>
    <w:p>
      <w:r>
        <w:rPr>
          <w:rFonts w:ascii="Calibri" w:hAnsi="Calibri"/>
          <w:b/>
          <w:color w:val="6E8450"/>
          <w:sz w:val="18"/>
        </w:rPr>
        <w:t>Basic Materials · Aluminum · NYSE · France</w:t>
      </w:r>
    </w:p>
    <w:p>
      <w:pPr>
        <w:spacing w:after="80"/>
      </w:pPr>
      <w:r>
        <w:rPr>
          <w:rFonts w:ascii="Calibri" w:hAnsi="Calibri"/>
          <w:b w:val="0"/>
          <w:color w:val="3A4A28"/>
          <w:sz w:val="20"/>
        </w:rPr>
        <w:t>Constellium is a global leader in the design and manufacture of high value-added aluminium products and solutions, serving aerospace, automotive, and packaging customers, and a major aluminium recycler. Q2 2026 revenue reached $2.75B (+31% YoY) with record quarterly Adjusted EBITDA, driven by Packaging &amp; Automotive Rolled Products ($1.68B, +36%) on North American automotive rolled product supply shortages and strong aerospace/recycling demand [1]. Management raised full-year 2026 Adjusted EBITDA guidance to $980M-$1.02B and free cash flow guidance to above $300M [1].</w:t>
      </w:r>
    </w:p>
    <w:p>
      <w:r>
        <w:rPr>
          <w:rFonts w:ascii="Calibri" w:hAnsi="Calibri"/>
          <w:b/>
          <w:color w:val="6E8450"/>
          <w:sz w:val="18"/>
        </w:rPr>
        <w:t>12,000 Employees · https://www.constellium.com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EXCELLENCE EVALUATION — THINK LIKE AN OWNER (50%)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Innovation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DEVELOPING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Track Record (2/3): Constellium has expanded recycling capacity to over 750,000 metric tons annually via a €130M investment in a new recycling center at Neuf-Brisach, and is building a new revenue stream in EV structural components (battery trays, packs, subframes) as its 'next big volume play' [3]. This is meaningful expansion but not a full business-model transformation. AI Deployment (1/2): The company deployed SmartMelt, a digital-twin furnace technology, at Neuf-Brisach, reportedly improving energy performance and productivity by ~10% in initial trials, but this remains a single-site trial rather than broad customer-facing AI product deployment [3]. Market Share (2/2): Constellium holds leading niche positions — a top-tier global aerospace plate producer and one of Europe's largest can-sheet packaging producers — with Q2 2026 Packaging &amp; Automotive Rolled Products revenue up 36% YoY reflecting share gains amid North American automotive rolled-product supply shortages [1]. Product Pipeline (1/2): EV battery enclosure and structural component programs are named as a strategic growth priority, but specific launch dates and contracted revenue visibility were not disclosed [3]. R&amp;D Intensity (0/1): R&amp;D spend of approximately $50M against ~$9.58B TTM revenue (~0.5% of revenue) is below typical industrial-sector R&amp;D intensity [3].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Inspiration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DC2626"/>
          <w:sz w:val="16"/>
        </w:rPr>
        <w:t xml:space="preserve"> WEAK 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2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102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4409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Mission Floor (2/4): Constellium's stated purpose — to be a global leader in technologically advanced, responsibly manufactured aluminium and aluminium recycling supporting a circular economy — is clear and backed by quantified 2030 targets (685,000 metric tons of recycled input by 2026, a 10% improvement over 2019), but it is not highly distinctive from peer decarbonization commitments across the metals sector [3][5]. Community Impact (0/2): No evidence of significant charitable giving, foundation activity, or community investment beyond standard compliance-oriented sustainability programs (EcoVadis gold rating, ASI certification) was found [5]. Employee Retention (0/2): No specific turnover, tenure, or retention data was found in available sources. Insider Buying (0/2): Insider activity over the trailing 12 months shows 14 insider sells versus only 2 small buys, including a $1.6M sale by the President of A&amp;T and a $1.56M sale by the SVP &amp; CHRO in May 2026 — a pattern of net insider selling with no meaningful buying conviction [4].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Infrastructure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16A34A"/>
          <w:sz w:val="16"/>
        </w:rPr>
        <w:t xml:space="preserve"> STRONG 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8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4409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102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Mechanically scored on available metrics (Growth weighting: PEG excluded — unavailable). Return on Equity of 53.09% and TTM revenue growth of 25.92% both far exceed targets, and Forward P/E of 10.05x is well below the 20x target, reflecting a cheaply valued cyclical industrial [2]. 5yr revenue CAGR of ~7.4% is solid but below the 10% target. The primary drags are Debt-to-Equity of 153% (above the 70% target, reflecting leveraged capital structure typical of capital-intensive metals processors) and Profit Margin of 5.69% (well below the 20% target, reflecting thin margins on metal-price pass-through revenue). Average daily volume of ~1.42M shares at a $25.99 stock price (~$36.9M/day) clears the liquidity floor by a wide margin [2].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FINITE VS INFINITE GAME — SINEK (25%)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Mindset: </w:t>
      </w:r>
      <w:r>
        <w:rPr>
          <w:rFonts w:ascii="Calibri" w:hAnsi="Calibri"/>
          <w:b/>
          <w:color w:val="B8860B"/>
          <w:sz w:val="22"/>
        </w:rPr>
        <w:t>MIXED</w:t>
      </w:r>
      <w:r>
        <w:rPr>
          <w:rFonts w:ascii="Calibri" w:hAnsi="Calibri"/>
          <w:b w:val="0"/>
          <w:color w:val="6E8450"/>
          <w:sz w:val="22"/>
        </w:rPr>
        <w:t xml:space="preserve">      Overall: </w:t>
      </w:r>
      <w:r>
        <w:rPr>
          <w:rFonts w:ascii="Calibri" w:hAnsi="Calibri"/>
          <w:b/>
          <w:color w:val="B8860B"/>
          <w:sz w:val="28"/>
        </w:rPr>
        <w:t>5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p>
      <w:pPr>
        <w:spacing w:after="120"/>
      </w:pPr>
      <w:r>
        <w:rPr>
          <w:rFonts w:ascii="Calibri" w:hAnsi="Calibri"/>
          <w:b w:val="0"/>
          <w:color w:val="3A4A28"/>
          <w:sz w:val="18"/>
        </w:rPr>
        <w:t>Constellium shows a genuine, quantified commitment to circular-economy aluminium and has backed it with real capital (recycling capacity investment, digital-twin efficiency technology) and a growing EV structural-components business, but the pattern is one of incremental adaptation rather than a tested, decades-validated Just Cause. Heavy net insider selling and a lack of disclosed employee-culture or competitive-mindset evidence keep this in mixed territory rather than a clear infinite-game exemplar.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Just Cause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7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858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654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Just Cause (2/3): Constellium's circular-economy aluminium purpose is genuine and connects specific capital investment (the €130M Neuf-Brisach recycling center, quantified 2030 recycling and emissions targets) to a larger sustainability narrative [3][5]. However, the cause has not been tested through a major leadership transition or industry crisis, and its language largely mirrors sector-wide decarbonization commitments rather than a category-defining vision unique to Constellium.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Trusting Teams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Trusting Teams (1/2): No evidence of layoffs, strikes, or organizational instability was found, and the company maintains ASI and EcoVadis certifications that imply baseline labor and safety governance [5]. However, no specific retention, tenure, or employee-sentiment data was available to support a higher score, and broad insider selling across multiple senior executives (CHRO, Chief Innovation Officer, Chief Procurement Officer) in a concentrated window is a mild caution flag rather than a trust signal [4].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Worthy Rivals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3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654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858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Worthy Rivals (0/1): No evidence was found of Constellium framing its competitive position (versus Novelis, Norsk Hydro, Alcoa) in terms of learning from rivals' strengths or self-improvement; available disclosures focus on share gains from supply shortages rather than a stated competitive philosophy, so no tiebreaker credit is awarded absent explicit evidence.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Existential Flexibility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Existential Flexibility (1/2): Constellium is evolving its business mix toward EV battery enclosures and structural components and toward higher-recycled-content aluminium, representing incremental adaptation to industry shifts (electrification, decarbonization) [3]. This is meaningful evolution but not a transformative reinvention on the scale of abandoning a core legacy business.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Courage To Lead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Courage to Lead (1/2): Management committed €130M to a new recycling center and continues SmartMelt digital-twin rollout during a capital-intensive, cyclical business environment — a genuine long-term capability investment made ahead of guaranteed near-term payback [3]. This is one clear example of prioritizing future capability, but the record does not yet show a broader pattern across multiple cycles.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INVESTMENT THESIS</w:t>
            </w:r>
          </w:p>
        </w:tc>
      </w:tr>
    </w:tbl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Constellium screens as a cheap, cash-generative cyclical: Forward P/E of 10.05x and ROE of 53.09% look attractive against Q2 2026 revenue growth of 31% YoY and record Adjusted EBITDA, with management raising full-year 2026 EBITDA guidance to $980M-$1.02B and FCF guidance above $300M [1]. Packaging &amp; Automotive Rolled Products revenue jumped 36% YoY on North American aluminum supply shortages, and the company's recycling scale-up (750,000+ metric tons capacity, €130M Neuf-Brisach investment) and emerging EV structural-components business (battery trays, packs, subframes) provide multi-year secular tailwinds tied to electrification and decarbonization [1][3]. An Altman Z-score of 2.79 and thin 5.69% profit margin are the visible offsets to an otherwise improving fundamental picture.</w:t>
      </w:r>
    </w:p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The bear case centers on thin margins, leverage, and cyclicality: profit margin of 5.69% reflects a metal-price pass-through business model with limited pricing power, and Debt-to-Equity of 153% leaves the balance sheet more exposed than the target industrial profile in a capital-intensive, energy-sensitive industry [2]. Aluminum prices are projected by Goldman Sachs analysts to fall roughly 15% by Q4 2026 to $2,350/ton, a headwind to revenue and margins that would pressure the current growth trajectory [3]. Fourteen insider sales versus only two small buys over the trailing year, including large sales by the CHRO and President of A&amp;T, signal limited insider conviction at current prices [4]. R&amp;D intensity of roughly 0.5% of revenue is low, and the company's innovation pipeline (EV structural components) lacks disclosed contract dates or revenue visibility, leaving execution risk on the next growth leg unquantified [3].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CATALYSTS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North American automotive rolled-product supply shortages continuing to drive share gains and pricing power in the Packaging &amp; Automotive Rolled Products segment, which grew 36% YoY in Q2 2026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Recycling capacity expansion to 750,000+ metric tons annually and the SmartMelt digital-twin rollout lowering energy costs and carbon intensity, supporting margin expansion toward the raised $980M-$1.02B 2026 EBITDA guidance [1][3]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EV battery tray, pack, and subframe structural-component wins ramping as a new volume driver as automakers prioritize lightweighting for electric vehicle range [3]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DC2626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RISKS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Projected ~15% decline in aluminum prices by Q4 2026 (per Goldman Sachs) would compress metal-price-linked revenue and pressure the thin 5.69% profit margin [3]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Elevated leverage (153% Debt-to-Equity) and an Altman Z-score of 2.79 leave limited balance sheet cushion if aerospace, automotive, or packaging demand softens simultaneously [2]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Rising AI data-center electricity demand is increasing power costs across the aluminum value chain, a cost headwind industry-wide even though it does not threaten Constellium's product demand directly [3]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AI RESILIENCE (25%)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AI Resilience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16A34A"/>
          <w:sz w:val="16"/>
        </w:rPr>
        <w:t xml:space="preserve"> LOW RISK 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8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4409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102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AI Risk Protection (8/9): Constellium's core business — physically rolling, extruding, and recycling aluminium for aerospace, automotive, and packaging customers — is a physical manufacturing process that AI structurally cannot displace; no analyst commentary identifies AI substitution risk to the company's revenue base [1][3]. If anything, AI data-center buildout is a double-edged dynamic for the aluminum sector — rising data-center electricity demand is squeezing smelter power costs industry-wide, a cost risk rather than a demand-substitution risk, and does not threaten Constellium's rolled-products franchise directly [3]. AI Opportunity (0/1): Constellium does not generate quantifiable revenue from AI products or services; its SmartMelt digital-twin deployment is an internal efficiency tool at a single site, not a monetized AI offering, so no tiebreaker point is awarded [3].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FAITH ALIGNMENT — INSPIRE INSIGHT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Inspire Impact Score:  </w:t>
      </w:r>
      <w:r>
        <w:rPr>
          <w:rFonts w:ascii="Calibri" w:hAnsi="Calibri"/>
          <w:b/>
          <w:color w:val="16A34A"/>
          <w:sz w:val="28"/>
        </w:rPr>
        <w:t>64</w:t>
      </w:r>
      <w:r>
        <w:rPr>
          <w:rFonts w:ascii="Calibri" w:hAnsi="Calibri"/>
          <w:b/>
          <w:color w:val="B8860B"/>
          <w:sz w:val="20"/>
        </w:rPr>
        <w:t xml:space="preserve">    ALIGNED</w:t>
      </w:r>
    </w:p>
    <w:p>
      <w:pPr>
        <w:spacing w:before="80" w:after="40"/>
      </w:pPr>
      <w:r>
        <w:rPr>
          <w:rFonts w:ascii="Calibri" w:hAnsi="Calibri"/>
          <w:b/>
          <w:color w:val="6E8450"/>
          <w:sz w:val="18"/>
        </w:rPr>
        <w:t xml:space="preserve">Positive: </w:t>
      </w:r>
      <w:r>
        <w:rPr>
          <w:rFonts w:ascii="Calibri" w:hAnsi="Calibri"/>
          <w:b/>
          <w:color w:val="16A34A"/>
          <w:sz w:val="17"/>
        </w:rPr>
        <w:t xml:space="preserve"> Business Ethics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Business Resilience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Employee Wellbeing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Energy Management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Ethical Sales Practices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Ethical Supply Chain Management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Fair Competition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GHG Emissions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Hiring Ethics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Human Rights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Low Ecological Impact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Materials Efficiency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Product Access and Affordability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Product Safety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Product Sustainability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Regulatory Adherence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Waste and Hazmat Management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Water Conservation </w:t>
      </w:r>
    </w:p>
    <w:p>
      <w:pPr>
        <w:spacing w:before="120"/>
      </w:pPr>
      <w:r>
        <w:rPr>
          <w:rFonts w:ascii="Calibri" w:hAnsi="Calibri"/>
          <w:b w:val="0"/>
          <w:color w:val="9DAF88"/>
          <w:sz w:val="15"/>
        </w:rPr>
        <w:t>Source: Inspire Insight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RESOURCES</w:t>
            </w:r>
          </w:p>
        </w:tc>
      </w:tr>
    </w:tbl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1. </w:t>
      </w:r>
      <w:r>
        <w:rPr>
          <w:rFonts w:ascii="Calibri" w:hAnsi="Calibri"/>
          <w:b w:val="0"/>
          <w:color w:val="3A4A28"/>
          <w:sz w:val="17"/>
        </w:rPr>
        <w:t>Constellium Q2 2026 Earnings Release and Presentation — Revenue $2.75B (+31% YoY), Record Adjusted EBITDA, Raised 2026 Guidance, August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2. </w:t>
      </w:r>
      <w:r>
        <w:rPr>
          <w:rFonts w:ascii="Calibri" w:hAnsi="Calibri"/>
          <w:b w:val="0"/>
          <w:color w:val="3A4A28"/>
          <w:sz w:val="17"/>
        </w:rPr>
        <w:t>StockAnalysis.com — CSTM Key Statistics and Revenue History (2020-2025, TTM), accessed September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3. </w:t>
      </w:r>
      <w:r>
        <w:rPr>
          <w:rFonts w:ascii="Calibri" w:hAnsi="Calibri"/>
          <w:b w:val="0"/>
          <w:color w:val="3A4A28"/>
          <w:sz w:val="17"/>
        </w:rPr>
        <w:t>Constellium 2025 Sustainability Report; Neuf-Brisach €130M Recycling Center and SmartMelt Digital Twin — GlobeNewswire, StockTitan, March 2026; Aluminum data-center demand context via Yahoo Finance,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4. </w:t>
      </w:r>
      <w:r>
        <w:rPr>
          <w:rFonts w:ascii="Calibri" w:hAnsi="Calibri"/>
          <w:b w:val="0"/>
          <w:color w:val="3A4A28"/>
          <w:sz w:val="17"/>
        </w:rPr>
        <w:t>GuruFocus, TipRanks, MarketBeat, StockTitan — CSTM Insider Trading Activity (Form 4 filings),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5. </w:t>
      </w:r>
      <w:r>
        <w:rPr>
          <w:rFonts w:ascii="Calibri" w:hAnsi="Calibri"/>
          <w:b w:val="0"/>
          <w:color w:val="3A4A28"/>
          <w:sz w:val="17"/>
        </w:rPr>
        <w:t>Aluminium Stewardship Initiative Audit Report — Constellium SE Europe and North America, 2024; EcoVadis and MSCI ESG ratings</w:t>
      </w:r>
    </w:p>
    <w:p>
      <w:pPr>
        <w:spacing w:before="400"/>
        <w:jc w:val="center"/>
      </w:pPr>
      <w:r>
        <w:rPr>
          <w:rFonts w:ascii="Calibri" w:hAnsi="Calibri"/>
          <w:b w:val="0"/>
          <w:color w:val="9DAF88"/>
          <w:sz w:val="16"/>
        </w:rPr>
        <w:t>Paradiem, LLC dba Intentional Ownership (“IOWN”) is a registered investment advisor. The information provided is for educational and informational purposes only and does not constitute investment advice.</w:t>
      </w:r>
    </w:p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