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CTRA</w:t>
      </w:r>
      <w:r>
        <w:rPr>
          <w:rFonts w:ascii="Calibri" w:hAnsi="Calibri"/>
          <w:b/>
          <w:color w:val="1A2010"/>
          <w:sz w:val="40"/>
        </w:rPr>
        <w:t xml:space="preserve">  Coterra Energy Inc.</w:t>
      </w:r>
    </w:p>
    <w:p>
      <w:pPr>
        <w:spacing w:after="120"/>
      </w:pPr>
      <w:r>
        <w:rPr>
          <w:rFonts w:ascii="Calibri" w:hAnsi="Calibri"/>
          <w:b/>
          <w:color w:val="6E8450"/>
          <w:sz w:val="18"/>
        </w:rPr>
        <w:t>DIVIDEND SLEEVE · 2026-08-31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Coterra Energy Inc. was an independent oil and gas company engaged in the development, exploration, and production of oil, natural gas, and natural gas liquids across the Permian Basin, Marcellus Shale, and Anadarko Basin. Formed from the October 2021 merger of Cabot Oil &amp; Gas and Cimarex Energy, Coterra completed an all-stock merger with Devon Energy on May 7, 2026 — Coterra stockholders received 0.70 shares of DVN for each CTRA share, and the combined company now trades exclusively as DVN. Pre-merger Q1 2026 revenue was $1.95B with $1.65B operating cash flow. This report reflects pre-merger data as CTRA no longer trades independently.</w:t>
      </w:r>
    </w:p>
    <w:p>
      <w:r>
        <w:rPr>
          <w:rFonts w:ascii="Calibri" w:hAnsi="Calibri"/>
          <w:b/>
          <w:color w:val="6E8450"/>
          <w:sz w:val="18"/>
        </w:rPr>
        <w:t>1,075 Employees · https://www.coterra.com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Coterra was created through the transformative 2021 merger of Cabot Oil &amp; Gas and Cimarex Energy, unifying a premier Marcellus gas position with Permian and Anadarko oil assets — a business model transformation that diversified commodity exposure and opened new revenue basins [1]. The Devon merger (closed May 2026) further transforms the company into one of the largest U.S. independents with combined production exceeding 1 million BOE/d and $1B/year in targeted synergies [2]. AI Deployment (1/2): Coterra deploys AI systems integrating basin-wide data to predict well performance, AI-enabled artificial lift optimization, and machine learning on real-time drilling and completions data, though no specific cost savings have been publicly quantified [6]. Market Share (1/2): Leading Marcellus Shale producer and growing Permian Basin operator, with Q1 2026 oil volumes up 16% to 14.7 MMBbl and NGL volumes up 32%, but not a dominant category leader in any single basin [1]. Product Pipeline (1/2): 2026 standalone guidance of 750-810 MBoepd total production with $2.35B FCF at strip pricing provides clear near-term visibility, though next-generation operational improvements remain vaguely described [1]. R&amp;D Intensity (0/1): E&amp;P companies invest in operational technology but do not report traditional R&amp;D spending; Coterra's technology investment is embedded in operational capital and not separately disclosed.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Coterra articulates a purpose centered on safely and responsibly developing natural resources to meet growing energy demand — clear and specific about what the company does and for whom, but not distinctive from E&amp;P peers and does not articulate a deeper purpose beyond resource development [4]. Community Impact (1/2): Published sustainability reports detailing environmental stewardship including 52% Scope 1 GHG emission intensity reduction and 86% methane intensity reduction from 2019-2023, but the Dimock, PA water contamination case (criminal no-contest plea, $16M settlement) significantly undermines community trust claims [4][3]. Employee Retention (1/2): CEO Tom Jorden's 40+ year career in E&amp;P and 2025 Distinguished Leadership in Energy Award provide leadership stability; lean 1,075-person workforce emphasizes 'progress over comfort,' though Glassdoor reviews present a mixed picture with some citing 'mistrust, frustration and futility' alongside others praising 'strong culture of collaboration' [3]. Insider Buying (0/2): No significant net insider buying by executives identified in the last 12 months beyond routine equity compensation activity.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Coterra's balance sheet is exceptionally clean with D/E of just 28% against an E&amp;P sector where leverage commonly exceeds 100% [5]. Profit margin of 24.7% reflects disciplined cost management despite volatile commodity prices. Forward P/E of 14.2 represents a meaningful discount to the S&amp;P 500, while PEG of 0.61 signals attractive growth-adjusted valuation [5]. ROE of 11.9% falls below the 15% target, reflecting conservative capital structure rather than weak profitability. Q1 2026 operating cash flow surged to $1.65B with net income of $466M and a reinvestment rate of approximately 50%, generating substantial free cash flow [1]. Dividend yield of 3.21% with a 40.6% payout ratio and 9 consecutive years of growth provides sustainable and growing income. 34 consecutive years of dividend payments including Cabot Oil &amp; Gas legacy demonstrate long-term capital return commitment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Coterra operates as a financially disciplined E&amp;P company that optimizes for capital efficiency and shareholder returns — quintessentially finite in Sinek's framework. The two transformative mergers (2021 Cabot+Cimarex, 2026 Devon) demonstrate strategic adaptability but are driven by scale economics and synergy capture rather than a transcendent purpose. CEO Jorden's stated philosophy of keeping people uncomfortable prioritizes performance over psychological safety, and the Dimock environmental controversy undermines any implicit claim of responsible stewardship.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Coterra's purpose centers on responsible resource development and meeting energy demand — a functional description of its business rather than a vision of a future state worth sacrificing for [4]. Strategic decisions including the Devon merger, basin portfolio optimization, and capital allocation are explicitly framed around shareholder value creation, reinvestment rates, and production growth targets. The Dimock water contamination case (criminal no-contest plea) creates tension with any implicit claim of responsible development. Sinek would note that 'develop resources responsibly' is what the company does, not why it exists.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Employee reviews present a divided picture. Some describe 'supportive leadership that values safety and integrity' with 'strong culture of collaboration across departments,' while others report a 'culture of mistrust, frustration and futility' with permanent understaffing under the name of 'running lean' [3]. CEO Jorden's public statement that he does 'not want anyone to be comfortable at Coterra' suggests a high-performance culture that may sacrifice psychological safety for results. The Devon integration adds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Coterra's competitive language centers on 'best-in-class capital efficiency' and 'top-tier returns' — framing the game as winning on financial metrics rather than learning from competitors' strengths. The Devon merger itself is a scale play designed to compete more effectively against larger peers like ConocoPhillips and EOG Resources, suggesting a finite 'bigger is better' mindset rather than using rivals to sharpen purpose.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Coterra has evolved significantly — from single-basin gas producer (Cabot) to multi-basin diversified E&amp;P (Coterra) to mega-independent (Devon+Coterra) in just five years, with 52% Scope 1 GHG reduction and 86% methane intensity reduction showing environmental adaptation [2][4]. However, these pivots are incremental extensions within the same industry rather than transformative reinventions — Coterra has always been an E&amp;P company, just a larger and cleaner one.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Coterra rebuffed an activist call for leadership overhaul in November 2025, defending its long-term strategy against short-term pressure [3]. The Devon merger represents a bold bet on scale — combining two major independents into a 1M+ BOE/d producer requires conviction. CEO Jorden maintained capital discipline and a conservative balance sheet (D/E 28%) during periods when peers leveraged up for growth. However, these decisions are primarily financial optimization rather than investing against short-term pressure for long-term capability in service of a higher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Coterra delivered Q1 2026 results with $1.95B revenue, $1.65B operating cash flow, and production growth led by a 16% surge in oil volumes to 14.7 MMBbl and 32% NGL growth [1]. The balance sheet is pristine at 28% D/E with standalone FCF guidance of $2.35B at strip pricing, supporting a 3.21% dividend yield with 40.6% payout ratio and ample room for continued growth [5]. The completed Devon merger (May 2026) creates a combined entity exceeding 1 million BOE/d across Permian, Delaware, Williston, Marcellus, and Anadarko basins, targeting $1B/year in pre-tax synergies by year-end 2027 [2]. Forward P/E of 14.2 and PEG of 0.61 reflect attractive valuation relative to growth prospects, and growing AI data center power demand provides a structural tailwind for natural gas consumption.</w:t>
      </w:r>
    </w:p>
    <w:p>
      <w:pPr>
        <w:spacing w:after="120"/>
      </w:pPr>
      <w:r>
        <w:rPr>
          <w:rFonts w:ascii="Calibri" w:hAnsi="Calibri"/>
          <w:b w:val="0"/>
          <w:color w:val="3A4A28"/>
          <w:sz w:val="20"/>
        </w:rPr>
        <w:t>EPS declined 10% YoY in Q1 2026 ($0.61 vs $0.68) as derivative losses and higher operating costs offset volume gains, underscoring the inherent earnings volatility of commodity-driven businesses [1]. The Devon merger introduces significant integration risk — combining two large organizations with distinct cultures while executing multi-basin development programs is operationally complex, and E&amp;P mega-mergers have a mixed track record [2]. Revenue and profitability remain directly correlated with oil and natural gas prices, with the multi-year revenue trajectory flat when adjusted for commodity cycles. The Dimock, PA water contamination case (criminal no-contest plea, $16M settlement) and a 74% shareholder vote in favor of methane disclosure create ongoing regulatory, reputational, and litigation risk [4]. ROE of 11.9% below the 15% target reflects capital-intensive E&amp;P economics even with conservative leverage.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Devon merger synergies targeting $1B/year in pre-tax savings by year-end 2027, with combined production exceeding 1 million BOE/d and enhanced multi-basin diversification across Permian, Delaware, Williston, Marcellus, and Anadarko</w:t>
      </w:r>
    </w:p>
    <w:p>
      <w:pPr>
        <w:spacing w:before="40" w:after="40"/>
        <w:ind w:left="283"/>
      </w:pPr>
      <w:r>
        <w:rPr>
          <w:rFonts w:ascii="Calibri" w:hAnsi="Calibri"/>
          <w:b/>
          <w:color w:val="4A6B25"/>
          <w:sz w:val="20"/>
        </w:rPr>
        <w:t xml:space="preserve">2. </w:t>
      </w:r>
      <w:r>
        <w:rPr>
          <w:rFonts w:ascii="Calibri" w:hAnsi="Calibri"/>
          <w:b w:val="0"/>
          <w:color w:val="3A4A28"/>
          <w:sz w:val="20"/>
        </w:rPr>
        <w:t>Standalone FCF guidance of $2.35B at strip pricing with a 50% reinvestment rate, enabling continued dividend growth from the current 3.21% yield and potential special dividends or accelerated buybacks</w:t>
      </w:r>
    </w:p>
    <w:p>
      <w:pPr>
        <w:spacing w:before="40" w:after="40"/>
        <w:ind w:left="283"/>
      </w:pPr>
      <w:r>
        <w:rPr>
          <w:rFonts w:ascii="Calibri" w:hAnsi="Calibri"/>
          <w:b/>
          <w:color w:val="4A6B25"/>
          <w:sz w:val="20"/>
        </w:rPr>
        <w:t xml:space="preserve">3. </w:t>
      </w:r>
      <w:r>
        <w:rPr>
          <w:rFonts w:ascii="Calibri" w:hAnsi="Calibri"/>
          <w:b w:val="0"/>
          <w:color w:val="3A4A28"/>
          <w:sz w:val="20"/>
        </w:rPr>
        <w:t>Structural increase in natural gas demand from AI data center electricity generation and LNG export capacity additions, benefiting Coterra's leading low-cost Marcellus Shale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volatility remains the dominant risk — a sustained decline in natural gas or oil prices would compress margins and FCF despite low-cost operations, with revenue entirely driven by hydrocarbon prices</w:t>
      </w:r>
    </w:p>
    <w:p>
      <w:pPr>
        <w:spacing w:before="40" w:after="40"/>
        <w:ind w:left="283"/>
      </w:pPr>
      <w:r>
        <w:rPr>
          <w:rFonts w:ascii="Calibri" w:hAnsi="Calibri"/>
          <w:b/>
          <w:color w:val="4A6B25"/>
          <w:sz w:val="20"/>
        </w:rPr>
        <w:t xml:space="preserve">2. </w:t>
      </w:r>
      <w:r>
        <w:rPr>
          <w:rFonts w:ascii="Calibri" w:hAnsi="Calibri"/>
          <w:b w:val="0"/>
          <w:color w:val="3A4A28"/>
          <w:sz w:val="20"/>
        </w:rPr>
        <w:t>Devon merger integration complexity including cultural alignment, basin optimization priorities, and achieving $1B/year in targeted synergies; the activist challenge in November 2025 signals governance concerns</w:t>
      </w:r>
    </w:p>
    <w:p>
      <w:pPr>
        <w:spacing w:before="40" w:after="40"/>
        <w:ind w:left="283"/>
      </w:pPr>
      <w:r>
        <w:rPr>
          <w:rFonts w:ascii="Calibri" w:hAnsi="Calibri"/>
          <w:b/>
          <w:color w:val="4A6B25"/>
          <w:sz w:val="20"/>
        </w:rPr>
        <w:t xml:space="preserve">3. </w:t>
      </w:r>
      <w:r>
        <w:rPr>
          <w:rFonts w:ascii="Calibri" w:hAnsi="Calibri"/>
          <w:b w:val="0"/>
          <w:color w:val="3A4A28"/>
          <w:sz w:val="20"/>
        </w:rPr>
        <w:t>Environmental and legal liability from the Dimock, PA water contamination case and regulatory tightening on methane emissions, with a 74% shareholder methane disclosure vote signaling investor concern that actual emissions may be 50-100% higher than reported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Coterra's core business — drilling, completing, and producing oil and natural gas from subsurface reservoirs — involves physical-world operations that AI structurally cannot displace [1]. Exploration and production requires massive capital equipment, geological expertise, regulatory permits, land rights, and physical infrastructure that no software can substitute. AI may actually increase demand for Coterra's products as data center buildouts for AI training and inference require enormous electricity generation, much of it from natural gas — the Devon merger explicitly references the 'AI era' as a demand driver [2]. AI Opportunity (0/1): While Coterra deploys AI internally for drilling optimization and well performance prediction, the company does not generate revenue from AI-related products or services — AI is a cost-reduction tool, not a revenue source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Coterra Energy Q1 2026 10-Q Filing and Earnings Release — $1.95B revenue, $466M net income, production guidance, May 2026</w:t>
      </w:r>
    </w:p>
    <w:p>
      <w:pPr>
        <w:spacing w:before="20" w:after="20"/>
        <w:ind w:left="170"/>
      </w:pPr>
      <w:r>
        <w:rPr>
          <w:rFonts w:ascii="Calibri" w:hAnsi="Calibri"/>
          <w:b/>
          <w:color w:val="4A6B25"/>
          <w:sz w:val="15"/>
        </w:rPr>
        <w:t xml:space="preserve">2. </w:t>
      </w:r>
      <w:r>
        <w:rPr>
          <w:rFonts w:ascii="Calibri" w:hAnsi="Calibri"/>
          <w:b w:val="0"/>
          <w:color w:val="3A4A28"/>
          <w:sz w:val="17"/>
        </w:rPr>
        <w:t>Devon and Coterra Transformative Merger Announcement — combined entity details, $1B synergy target, February 2, 2026</w:t>
      </w:r>
    </w:p>
    <w:p>
      <w:pPr>
        <w:spacing w:before="20" w:after="20"/>
        <w:ind w:left="170"/>
      </w:pPr>
      <w:r>
        <w:rPr>
          <w:rFonts w:ascii="Calibri" w:hAnsi="Calibri"/>
          <w:b/>
          <w:color w:val="4A6B25"/>
          <w:sz w:val="15"/>
        </w:rPr>
        <w:t xml:space="preserve">3. </w:t>
      </w:r>
      <w:r>
        <w:rPr>
          <w:rFonts w:ascii="Calibri" w:hAnsi="Calibri"/>
          <w:b w:val="0"/>
          <w:color w:val="3A4A28"/>
          <w:sz w:val="17"/>
        </w:rPr>
        <w:t>Glassdoor Employee Reviews and CEO Leadership — Coterra Energy culture, Tom Jorden statements, accessed July 2026</w:t>
      </w:r>
    </w:p>
    <w:p>
      <w:pPr>
        <w:spacing w:before="20" w:after="20"/>
        <w:ind w:left="170"/>
      </w:pPr>
      <w:r>
        <w:rPr>
          <w:rFonts w:ascii="Calibri" w:hAnsi="Calibri"/>
          <w:b/>
          <w:color w:val="4A6B25"/>
          <w:sz w:val="15"/>
        </w:rPr>
        <w:t xml:space="preserve">4. </w:t>
      </w:r>
      <w:r>
        <w:rPr>
          <w:rFonts w:ascii="Calibri" w:hAnsi="Calibri"/>
          <w:b w:val="0"/>
          <w:color w:val="3A4A28"/>
          <w:sz w:val="17"/>
        </w:rPr>
        <w:t>Coterra Energy Sustainability Report and Dimock PA Case — GHG reductions, methane disclosure resolution, environmental controversies</w:t>
      </w:r>
    </w:p>
    <w:p>
      <w:pPr>
        <w:spacing w:before="20" w:after="20"/>
        <w:ind w:left="170"/>
      </w:pPr>
      <w:r>
        <w:rPr>
          <w:rFonts w:ascii="Calibri" w:hAnsi="Calibri"/>
          <w:b/>
          <w:color w:val="4A6B25"/>
          <w:sz w:val="15"/>
        </w:rPr>
        <w:t xml:space="preserve">5. </w:t>
      </w:r>
      <w:r>
        <w:rPr>
          <w:rFonts w:ascii="Calibri" w:hAnsi="Calibri"/>
          <w:b w:val="0"/>
          <w:color w:val="3A4A28"/>
          <w:sz w:val="17"/>
        </w:rPr>
        <w:t>StockAnalysis / Yahoo Finance — CTRA Pre-Merger Key Statistics: Forward P/E 14.22x, PEG 0.61, D/E 28%, ROE 11.86%, Dividend Yield 3.21%, accessed May 2026</w:t>
      </w:r>
    </w:p>
    <w:p>
      <w:pPr>
        <w:spacing w:before="20" w:after="20"/>
        <w:ind w:left="170"/>
      </w:pPr>
      <w:r>
        <w:rPr>
          <w:rFonts w:ascii="Calibri" w:hAnsi="Calibri"/>
          <w:b/>
          <w:color w:val="4A6B25"/>
          <w:sz w:val="15"/>
        </w:rPr>
        <w:t xml:space="preserve">6. </w:t>
      </w:r>
      <w:r>
        <w:rPr>
          <w:rFonts w:ascii="Calibri" w:hAnsi="Calibri"/>
          <w:b w:val="0"/>
          <w:color w:val="3A4A28"/>
          <w:sz w:val="17"/>
        </w:rPr>
        <w:t>Barchart / PitchGrade — Coterra Energy AI Innovation and Operational Technology Analysis,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