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CTVA</w:t>
      </w:r>
      <w:r>
        <w:rPr>
          <w:rFonts w:ascii="Calibri" w:hAnsi="Calibri"/>
          <w:b/>
          <w:color w:val="1A2010"/>
          <w:sz w:val="40"/>
        </w:rPr>
        <w:t xml:space="preserve">  Corteva, Inc.</w:t>
      </w:r>
    </w:p>
    <w:p>
      <w:pPr>
        <w:spacing w:after="120"/>
      </w:pPr>
      <w:r>
        <w:rPr>
          <w:rFonts w:ascii="Calibri" w:hAnsi="Calibri"/>
          <w:b/>
          <w:color w:val="6E8450"/>
          <w:sz w:val="18"/>
        </w:rPr>
        <w:t>GROWTH SLEEVE · 2026-08-30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Agricultural Inputs · NYSE · United States</w:t>
      </w:r>
    </w:p>
    <w:p>
      <w:pPr>
        <w:spacing w:after="80"/>
      </w:pPr>
      <w:r>
        <w:rPr>
          <w:rFonts w:ascii="Calibri" w:hAnsi="Calibri"/>
          <w:b w:val="0"/>
          <w:color w:val="3A4A28"/>
          <w:sz w:val="20"/>
        </w:rPr>
        <w:t>Corteva Agriscience is a global leader in seed genetics and crop protection, operating through two segments: Seed (Pioneer, Brevant, and regional brands — corn, soybean, and other crop genetics) and Crop Protection (herbicides, fungicides, insecticides, and biologicals). Spun off from DuPont in June 2019, the company is preparing to separate into two independent public companies in Q4 2026 — 'New Corteva' (Crop Protection, led by CEO Luke Kissam) and 'SpinCo' (Advanced Seed &amp; Genetics, led by CEO Chuck Magro). Q1 2026 net sales reached $4.90B (+11% YoY) with operating EPS of $1.50 (+33% YoY) and raised FY2026 EBITDA guidance to $4.1-4.3B. Market cap approximately $56B. Legacy PFAS litigation inherited from DuPont remains an overhang ($875M shared settlement with New Jersey).</w:t>
      </w:r>
    </w:p>
    <w:p>
      <w:r>
        <w:rPr>
          <w:rFonts w:ascii="Calibri" w:hAnsi="Calibri"/>
          <w:b/>
          <w:color w:val="6E8450"/>
          <w:sz w:val="18"/>
        </w:rPr>
        <w:t>22,000 Employees · https://www.corteva.com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Corteva's planned separation into two focused companies (Q4 2026) is a transformative strategic decision that unlocks value by allowing each business to pursue innovation independently — Seed through advanced genetics and digital breeding tools, and Crop Protection through nature-inspired molecules and biologicals [4]. The seed business has consistently introduced new hybrid germplasm each year, driving 9% organic growth through technology adoption, while Crop Protection's spinosyns and biologicals represent genuine innovation in the ag chemistry space [1]. AI Deployment (0/2): Chief Digital and Information Officer Jim Alcombright leads digital transformation, and Chief Technology Officer Reza Rasoulpour oversees innovation, but no specific AI-powered products are shipping to farmers or quantified AI-driven savings reported [2]. Precision agriculture tools exist but have not been publicly quantified as AI revenue. Market Share (2/2): Corteva is one of the 'Big Four' global agrochemical companies alongside BASF, Bayer/Monsanto, and Syngenta/ChemChina. Pioneer is the #1 or #2 seed brand in North America with dominant corn and soybean genetics market share [1]. The company has top-tier positions globally in both seed and crop protection. Product Pipeline (1/2): Active pipeline of new crop protection molecules including nature-inspired technologies and biologicals, with ongoing seed genetics development across multiple crops. However, specific next-generation product names, launch dates, and revenue visibility are limited to the general separation timeline [1][4]. R&amp;D Intensity (1/1): Corteva's R&amp;D spending is above industry average for agricultural inputs, with dedicated research facilities for seed genetics (breeding stations globally), crop protection chemistry, and biologicals — innovation is the company's stated competitive advantage.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Corteva's purpose — 'to enrich the lives of those who produce and those who consume, ensuring progress for generations to come' — is specific, thoughtful, and clearly differentiates from agricultural peers [2]. It connects the company's work to global food security, identifies both farmers and consumers as beneficiaries, and frames the mission in generational terms. CEO Chuck Magro's emphasis on 'innovation and sustainability' and the company's pioneering role in biological crop protection demonstrate alignment between stated purpose and strategic decisions. However, the company has only existed since 2019, insufficient time to validate the purpose through decades of consistent execution. Community &amp; Charitable Impact (0/2): No specific charitable programs, community investment, or foundation activity identified beyond general sustainability commitments. The PFAS legacy creates a tension between environmental purpose and historical chemical contamination [3]. Employee Retention (0/2): No publicly available data on employee turnover, retention rates, or tenure. The impending separation into two companies may create organizational uncertainty. Insider Buying (0/2): No evidence of meaningful net insider buying by CEO Chuck Magro or other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Corteva's balance sheet is exceptionally conservative with D/E of 17%, well below the 70% target — the lowest leverage in the agricultural inputs peer group [5]. Forward P/E of 20.47x narrowly misses the 20x target but scores 0.99, reflecting a reasonable valuation for a defensive large-cap with improving growth trajectory. PEG ratio of 1.66 scores 0.67, indicating modest valuation relative to expected earnings growth. ROE of 6.70% scores 0.45, below the 15% target — reflecting the asset-heavy agricultural business model and PFAS-related charges depressing returns. Profit margin of 9.19% scores 0.46, below the 20% target but improving as the company shifts toward higher-margin biologicals and seed genetics. Revenue growth YoY of 11% exceeds the 10% target (score 1.0), driven by Seed organic growth of 9% and Crop Protection growth of 10% in Q1 2026 [1]. The 5yr revenue CAGR of approximately 3.5% (from ~$15.6B in 2021 to ~$18.5B run rate) scores 0.57, reflecting cyclical headwinds in crop protection pricing during 2023-2024. Liquidity: $83.05 x ~4M avg daily volume = $332M &gt;&gt; $1M.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Corteva demonstrates mixed infinite game characteristics. The purpose of enriching the lives of producers and consumers connects the company's work to global food security — a genuine cause that transcends quarterly metrics. The courageous decision to separate into two companies shows willingness to destroy the current organizational form in service of long-term innovation leadership. However, the company has only existed since 2019, providing limited history to validate purpose through market cycles. The legacy PFAS litigation inherited from DuPont and the financial engineering orientation (buybacks, separation for value unlock) introduce finite game elements.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Corteva's purpose — enriching the lives of those who produce and those who consume — is a genuine cause that connects agricultural innovation to global food security [2]. The decision to separate into two companies is driven by the belief that focused innovation serves this cause better than a conglomerate structure. CEO Magro's emphasis on 'sustainable agriculture solutions' and the company's investment in biologicals and nature-inspired technologies over commodity chemistry demonstrate strategic decisions traced to purpose. However, Corteva has existed as an independent company only since 2019 — the cause has not been tested through decades of consistent execution, leadership transitions, or severe market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Chuck Magro brought a proven track record from Nutrien (where he led the creation and integration of the world's largest crop inputs company) and has emphasized 'operational excellence' and innovation culture [2]. The company has announced dedicated leadership teams for both post-separation companies, demonstrating succession planning and organizational thoughtfulness. However, the impending separation creates inherent organizational uncertainty — employees face questions about which company they'll join, reporting structures are changing, and the company has only been independent for 7 years, limiting the depth of organizational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Corteva's competitive language focuses on market positioning — 'first-mover advantage in nature-inspired technologies,' 'markets that reward differentiation,' and market share rankings. The company frames competition as a landscape to dominate rather than rivals to learn from. No evidence of management acknowledging competitors' strengths or using competitive pressure as motivation for self-improvement beyond standard industry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planned Q4 2026 separation into two independent companies — Crop Protection ('New Corteva') and Seed &amp; Genetics ('SpinCo') — represents meaningful strategic transformation [4]. The company is voluntarily destroying its current organizational form to create two focused entities, each with dedicated leadership, capital allocation, and innovation agendas. This follows the 2019 spinoff from DuPont, meaning the organization will have undergone two major structural transformations in 7 years. However, the underlying business activities (making seeds and chemicals) remain unchanged — the flexibility is structural/organizational rather than a fundamental reinvention of what the company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separate Corteva into two companies requires significant short-term cost (separation expenses, management disruption, investor uncertainty) in service of long-term value creation through focused innovation [4]. The shift toward biologicals and nature-inspired crop protection molecules involves walking away from higher-margin legacy synthetic chemistry toward lower-margin but higher-growth sustainable products. However, the separation is also motivated by financial engineering (value unlock, multiple expansion for each entity), and the company has not demonstrated willingness to sacrifice quarterly earnings — FY2026 guidance was raised, suggesting the separation is designed to be accretive rather than a true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Corteva at 20.47x forward earnings is a defensive large-cap with accelerating growth and a transformative catalyst. Q1 2026 delivered $4.90B net sales (+11% YoY) with operating EPS of $1.50 (+33%), and management raised FY2026 EBITDA guidance to $4.1-4.3B on improving demand across both Seed (+9% organic) and Crop Protection (+10%) [1]. The Q4 2026 separation into two focused companies — Crop Protection (nature-inspired molecules, biologicals) and Advanced Seed &amp; Genetics (Pioneer, precision breeding) — should unlock significant value as each entity trades on its own merit without the conglomerate discount [4]. D/E of 17% provides a fortress balance sheet, and the biologicals pivot positions Corteva in the fastest-growing segment of crop protection. The secular agriculture tailwind is structural: global population growth demands higher yields, and Corteva's seed genetics and crop protection IP are essential inputs for food production worldwide.</w:t>
      </w:r>
    </w:p>
    <w:p>
      <w:pPr>
        <w:spacing w:after="120"/>
      </w:pPr>
      <w:r>
        <w:rPr>
          <w:rFonts w:ascii="Calibri" w:hAnsi="Calibri"/>
          <w:b w:val="0"/>
          <w:color w:val="3A4A28"/>
          <w:sz w:val="20"/>
        </w:rPr>
        <w:t>The bear case centers on valuation, legacy liabilities, and cyclicality. Forward P/E of 20.47x and PEG of 1.66 price in the separation catalyst — if the split is delayed, restructured, or fails to unlock expected multiples, the stock has limited upside from current levels [5]. ROE of 6.70% and profit margin of 9.19% are mediocre, reflecting an asset-heavy agricultural business that generates modest returns on capital relative to its premium valuation. The PFAS litigation inherited from DuPont remains an overhang — New York, Texas, and multiple municipalities are suing Corteva, DuPont, and Chemours, with the New Jersey settlement alone at $875M, and total liability exposure is difficult to quantify [3]. The crop protection business faces ongoing pricing pressure from generic competitors, particularly in herbicides and fungicides, and the 5yr revenue CAGR of only 3.5% reflects the cyclical headwinds that periodically depress the ag sector. The Inspire Impact Score of -49 (MISALIGNED due to LGBT Activism attribution) limits allocation for faith-based investors despite strong ESG practices across 16 positive categories. The separation into two companies introduces execution risk — standalone costs, stranded overhead, and management distraction could offset the value unlock.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2026 separation into two focused public companies — Crop Protection and Advanced Seed &amp; Genetics — expected to unlock conglomerate discount as each entity attracts specialized investors and trades on its own growth profile [4]</w:t>
      </w:r>
    </w:p>
    <w:p>
      <w:pPr>
        <w:spacing w:before="40" w:after="40"/>
        <w:ind w:left="283"/>
      </w:pPr>
      <w:r>
        <w:rPr>
          <w:rFonts w:ascii="Calibri" w:hAnsi="Calibri"/>
          <w:b/>
          <w:color w:val="4A6B25"/>
          <w:sz w:val="20"/>
        </w:rPr>
        <w:t xml:space="preserve">2. </w:t>
      </w:r>
      <w:r>
        <w:rPr>
          <w:rFonts w:ascii="Calibri" w:hAnsi="Calibri"/>
          <w:b w:val="0"/>
          <w:color w:val="3A4A28"/>
          <w:sz w:val="20"/>
        </w:rPr>
        <w:t>Biologicals and nature-inspired crop protection growing faster than legacy synthetic chemistry, positioning Corteva in the highest-growth segment of the $70B+ global crop protection market with proprietary spinosyn technology [1]</w:t>
      </w:r>
    </w:p>
    <w:p>
      <w:pPr>
        <w:spacing w:before="40" w:after="40"/>
        <w:ind w:left="283"/>
      </w:pPr>
      <w:r>
        <w:rPr>
          <w:rFonts w:ascii="Calibri" w:hAnsi="Calibri"/>
          <w:b/>
          <w:color w:val="4A6B25"/>
          <w:sz w:val="20"/>
        </w:rPr>
        <w:t xml:space="preserve">3. </w:t>
      </w:r>
      <w:r>
        <w:rPr>
          <w:rFonts w:ascii="Calibri" w:hAnsi="Calibri"/>
          <w:b w:val="0"/>
          <w:color w:val="3A4A28"/>
          <w:sz w:val="20"/>
        </w:rPr>
        <w:t>Seed technology adoption driving 9% organic growth with record corn and soybean genetics performance, combined with expanded licensing income from third-party seed companies using Corteva traits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PFAS legacy litigation with unknown total exposure — New York and Texas lawsuits, multiple municipal claims, and $875M New Jersey settlement shared with DuPont/Chemours create an unquantifiable contingent liability that could exceed current reserves [3]</w:t>
      </w:r>
    </w:p>
    <w:p>
      <w:pPr>
        <w:spacing w:before="40" w:after="40"/>
        <w:ind w:left="283"/>
      </w:pPr>
      <w:r>
        <w:rPr>
          <w:rFonts w:ascii="Calibri" w:hAnsi="Calibri"/>
          <w:b/>
          <w:color w:val="4A6B25"/>
          <w:sz w:val="20"/>
        </w:rPr>
        <w:t xml:space="preserve">2. </w:t>
      </w:r>
      <w:r>
        <w:rPr>
          <w:rFonts w:ascii="Calibri" w:hAnsi="Calibri"/>
          <w:b w:val="0"/>
          <w:color w:val="3A4A28"/>
          <w:sz w:val="20"/>
        </w:rPr>
        <w:t>Separation execution risk as Corteva splits into two companies (Q4 2026) — standalone operating costs, stranded overhead, management distraction, and potential for investor confusion during transition could offset the intended value unlock [4]</w:t>
      </w:r>
    </w:p>
    <w:p>
      <w:pPr>
        <w:spacing w:before="40" w:after="40"/>
        <w:ind w:left="283"/>
      </w:pPr>
      <w:r>
        <w:rPr>
          <w:rFonts w:ascii="Calibri" w:hAnsi="Calibri"/>
          <w:b/>
          <w:color w:val="4A6B25"/>
          <w:sz w:val="20"/>
        </w:rPr>
        <w:t xml:space="preserve">3. </w:t>
      </w:r>
      <w:r>
        <w:rPr>
          <w:rFonts w:ascii="Calibri" w:hAnsi="Calibri"/>
          <w:b w:val="0"/>
          <w:color w:val="3A4A28"/>
          <w:sz w:val="20"/>
        </w:rPr>
        <w:t>Crop protection pricing pressure from generic competition in herbicides and fungicides, combined with cyclical ag commodity pricing that periodically compresses farmer spending and Corteva's revenue, as reflected in the modest 3.5% five-year revenue CAGR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Corteva's core businesses — seed genetics and crop protection chemicals — are structurally immune to AI disruption. Seeds are biological products developed through decades of breeding, field testing, and genetic research that require physical planting, growing conditions, and agronomic knowledge AI cannot replicate [1]. Crop protection chemicals require physical manufacturing, formulation, field application, and regulatory approval (EPA, international agencies) that create impenetrable barriers to AI substitution. The agricultural value chain from R&amp;D lab to farmer's field is fundamentally physical. AI may enhance precision agriculture (targeted application, yield optimization), but this increases demand for Corteva's products rather than threatening them — more precise farming uses better seeds and targeted chemistry, not less [2]. The only indirect risk is that AI-powered crop analytics could shift purchasing power toward digital platforms, but Corteva's proprietary genetics and chemistry remain the essential inputs. AI Opportunity (0/1): Corteva has digital agriculture capabilities and precision ag tools, but no quantified AI-specific revenue has been disclosed. R&amp;D uses computational breeding tools but this has not been monetized as a separate AI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Corteva Q1 2026 Earnings Release — Net Sales $4.90B (+11% YoY), Seed $3.02B (+12%), Crop Protection $1.88B (+10%), Operating EPS $1.50 (+33%), EBITDA $1.44B (+21%), April 2026</w:t>
      </w:r>
    </w:p>
    <w:p>
      <w:pPr>
        <w:spacing w:before="20" w:after="20"/>
        <w:ind w:left="170"/>
      </w:pPr>
      <w:r>
        <w:rPr>
          <w:rFonts w:ascii="Calibri" w:hAnsi="Calibri"/>
          <w:b/>
          <w:color w:val="4A6B25"/>
          <w:sz w:val="15"/>
        </w:rPr>
        <w:t xml:space="preserve">2. </w:t>
      </w:r>
      <w:r>
        <w:rPr>
          <w:rFonts w:ascii="Calibri" w:hAnsi="Calibri"/>
          <w:b w:val="0"/>
          <w:color w:val="3A4A28"/>
          <w:sz w:val="17"/>
        </w:rPr>
        <w:t>Corteva Leadership &amp; Innovation Strategy — CEO Chuck Magro, Luke Kissam (New Corteva CEO), Nature-Inspired Technologies, Biologicals, CTO Reza Rasoulpour, Corteva.com</w:t>
      </w:r>
    </w:p>
    <w:p>
      <w:pPr>
        <w:spacing w:before="20" w:after="20"/>
        <w:ind w:left="170"/>
      </w:pPr>
      <w:r>
        <w:rPr>
          <w:rFonts w:ascii="Calibri" w:hAnsi="Calibri"/>
          <w:b/>
          <w:color w:val="4A6B25"/>
          <w:sz w:val="15"/>
        </w:rPr>
        <w:t xml:space="preserve">3. </w:t>
      </w:r>
      <w:r>
        <w:rPr>
          <w:rFonts w:ascii="Calibri" w:hAnsi="Calibri"/>
          <w:b w:val="0"/>
          <w:color w:val="3A4A28"/>
          <w:sz w:val="17"/>
        </w:rPr>
        <w:t>Corteva PFAS &amp; ESG — New York/Texas Lawsuits, NJ Settlement $875M, Pesticide/Honeybee Controversy, ChemSec Controversies Report, 2022-2026</w:t>
      </w:r>
    </w:p>
    <w:p>
      <w:pPr>
        <w:spacing w:before="20" w:after="20"/>
        <w:ind w:left="170"/>
      </w:pPr>
      <w:r>
        <w:rPr>
          <w:rFonts w:ascii="Calibri" w:hAnsi="Calibri"/>
          <w:b/>
          <w:color w:val="4A6B25"/>
          <w:sz w:val="15"/>
        </w:rPr>
        <w:t xml:space="preserve">4. </w:t>
      </w:r>
      <w:r>
        <w:rPr>
          <w:rFonts w:ascii="Calibri" w:hAnsi="Calibri"/>
          <w:b w:val="0"/>
          <w:color w:val="3A4A28"/>
          <w:sz w:val="17"/>
        </w:rPr>
        <w:t>Corteva Separation — Two Independent Public Companies in Q4 2026: Crop Protection ('New Corteva') and Seed &amp; Genetics ('SpinCo'), Corteva IR,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CTVA Key Statistics: Forward P/E 20.47, PEG 1.66, ROE 6.70%, D/E 17%, Stock Price $83.05,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