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CUE</w:t>
      </w:r>
      <w:r>
        <w:rPr>
          <w:rFonts w:ascii="Calibri" w:hAnsi="Calibri"/>
          <w:b/>
          <w:color w:val="1A2010"/>
          <w:sz w:val="40"/>
        </w:rPr>
        <w:t xml:space="preserve">  Cue Biopharma, Inc.</w:t>
      </w:r>
    </w:p>
    <w:p>
      <w:pPr>
        <w:spacing w:after="120"/>
      </w:pPr>
      <w:r>
        <w:rPr>
          <w:rFonts w:ascii="Calibri" w:hAnsi="Calibri"/>
          <w:b/>
          <w:color w:val="6E8450"/>
          <w:sz w:val="18"/>
        </w:rPr>
        <w:t>GROWTH SLEEVE · 2026-09-15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Cue Biopharma is a clinical-stage biopharmaceutical company developing selective immunomodulation therapies. Lead asset CUE-221 is an anti-IgE antibody with dual-mechanism of action in Phase 2 for allergic diseases, under a collaboration with Boehringer Ingelheim. The Immuno-STAT platform targets disease-specific T cells in vivo without broad immune modulation. CUE-401, a bifunctional IL-2/TGF-B program, is advancing toward Phase 1 for autoimmune indications. Q2 2026 revenue was $7.9M (vs. $3.0M prior year) from a Boehringer Ingelheim preclinical milestone, and Q1 2026 revenue was $5.7M with losses narrowing 58% YoY [1][2]. The company appointed Shao-Lee Lin, M.D., Ph.D. as CEO in April 2026, the second CEO transition in under 12 months.</w:t>
      </w:r>
    </w:p>
    <w:p>
      <w:r>
        <w:rPr>
          <w:rFonts w:ascii="Calibri" w:hAnsi="Calibri"/>
          <w:b/>
          <w:color w:val="6E8450"/>
          <w:sz w:val="18"/>
        </w:rPr>
        <w:t>29 Employees · https://www.cuebiopharma.com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CUE has transformed from an early-stage Immuno-STAT oncology platform company into a clinical-stage biopharmaceutical with CUE-221 in Phase 2 for allergic diseases and a significant Boehringer Ingelheim collaboration generating milestone revenue [1][2]. Revenue grew from $1.2M in 2022 to $37.7M TTM, driven by the BI partnership and Ascendant license agreement. This represents a successful strategic pivot and new revenue stream, though not a transformative business model reinvention. AI Deployment (0/2): No evidence of AI-powered products or quantified AI-driven efficiencies at this 29-person clinical-stage biotech [3]. Market Share (0/2): CUE operates in niche immunology/allergy therapeutics with a $222M market cap; it is not a market leader or share gainer in any defined category [4]. Pipeline (1/2): CUE-221 in Phase 2 for allergic diseases and CUE-401 advancing toward Phase 1 for autoimmune indications provide specific programs with visibility, though timelines remain uncertain for a company at this stage [2]. R&amp;D Intensity (1/1): As a clinical-stage biotech, essentially all operational spend is directed toward R&amp;D, placing CUE well above industry-average R&amp;D intensity relative to revenue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Cue Biopharma's stated focus is developing 'a novel class of biologic drugs to selectively modulate immune responses' — a clear and specific mission that identifies what the company does and for whom, but it does not articulate a deeper transformative purpose beyond standard drug development language [3]. Community Impact (0/2): No evidence of specific charitable programs, community investment, or philanthropic initiatives was identified for this 29-person company [3]. Employee Retention (0/2): Two CEO transitions in under 12 months (Usman Azam appointed September 2025, replaced by Shao-Lee Lin in April 2026) signals organizational instability rather than mission-driven retention [3]. No employee tenure data available. Insider Buying (0/2): CEO Lin sold $1.6M in shares in August 2026, and other officers (Ray, Meluzio) also engaged in net selling. No insider buying was identified in the past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excluded due to pre-profitability status. D/E of 133.2% scores 0.73 — modest debt ($3.1M) against a small equity base, with $17.4M in cash providing limited runway against -$33.4M annual FCF burn [4]. ROE of -16.0% scores 0.0 at the floor, reflecting continued net losses [4]. YoY revenue growth of 166.7% scores 1.0 — impressive but driven by lumpy collaboration milestone payments from a tiny base ($7.9M Q2 2026 vs. $3.0M Q2 2025) [1]. Revenue 5yr CAGR excluded (company had near-zero revenue five years ago). Forward P/E and PEG excluded (negative/unavailable due to pre-profitability). Profit margin of 0.0% scores 0.0 at the floor — Q2 2026 reported a $153.1M net loss including a $63.1M non-cash loss on the Ascendant license agreement [1]. Daily trading value of ~$5.0M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Cue Biopharma exhibits classic finite-game characteristics through Sinek's lens: two CEO changes in under 12 months (Azam to Lin) signals strategic uncertainty rather than consistent purpose, significant insider selling by the new CEO immediately after appointment suggests financial optimization over mission commitment, and the company's frequent strategic pivots — from oncology Immuno-STAT to allergic disease CUE-221 to autoimmune CUE-401 — indicate reactive positioning rather than a guiding Just Cause. The sole redeeming quality is genuine flexibility in pivoting the platform toward more promising therapeutic areas.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CUE exists to develop selective immunomodulation therapies for allergic and autoimmune diseases — a clear purpose that connects to patient benefit. However, the company's frequent strategic pivots (oncology to allergy to autoimmune) and rapid leadership turnover suggest the cause is shallow and reactive rather than deeply held [2][3]. No evidence that the purpose drives strategic decisions through multiple market cycles; the company is only 10 years old and has yet to bring a product to market.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29-person company with two CEO changes in 12 months presents significant organizational instability [3]. Leadership transitions at this pace create uncertainty and erode psychological safety. No specific employee retention data, culture assessments, or tenure information available to suggest a trusting team environment. The rapid executive turnover is a red flag for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CUE's leadership frames competitive dynamics. The immunology/allergy space includes formidable competitors (Regeneron's dupilumab, Novartis' omalizumab), but CUE's public communications do not reference these as worthy rivals that drive self-improvement. The company's small size and early clinical stage limit meaningful competitive engagement.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CUE has pivoted from its original Immuno-STAT oncology platform focus to CUE-221 (allergic disease) and CUE-401 (autoimmune), demonstrating willingness to redirect the business toward more promising therapeutic areas [2]. The Boehringer Ingelheim collaboration validates this pivot with real milestone revenue. However, the pivots appear incremental (different applications of the same platform technology) and driven by necessity rather than a bold strategic vision in service of a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Two CEO transitions in under 12 months undermines any narrative of courageous, long-term leadership [3]. CEO Lin sold $1.6M in shares within months of appointment, signaling financial optimization over conviction [4]. No evidence of leadership sacrificing near-term results for long-term capability — the company's strategic decisions appear driven by capital market pressures and pipeline pragmatism rather than principled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Cue Biopharma's bull case rests on CUE-221's dual-mechanism anti-IgE approach in a large allergic disease market, validated by the Boehringer Ingelheim collaboration that generated $7.9M in Q2 2026 milestone revenue and $5.7M in Q1 2026 [1][2]. The company's Immuno-STAT platform offers a differentiated approach to selective immunomodulation that could address limitations of current broad immunosuppressive therapies. Revenue has grown from $1.2M in 2022 to $37.7M TTM, and CEO Shao-Lee Lin brings 25+ years of biopharmaceutical leadership experience from Horizon Therapeutics and AbbVie [3]. The Phase 2 CUE-221 program and Phase 1-bound CUE-401 program provide multiple shots on goal in the immunology space.</w:t>
      </w:r>
    </w:p>
    <w:p>
      <w:pPr>
        <w:spacing w:after="120"/>
      </w:pPr>
      <w:r>
        <w:rPr>
          <w:rFonts w:ascii="Calibri" w:hAnsi="Calibri"/>
          <w:b w:val="0"/>
          <w:color w:val="3A4A28"/>
          <w:sz w:val="20"/>
        </w:rPr>
        <w:t>The bear case is severe for a company with $17.4M in cash against -$33.4M annual free cash flow burn, providing less than 7 months of runway without additional financing [4]. Two CEO transitions in under 12 months (Azam departed, Lin appointed April 2026) creates execution risk at a critical clinical development stage. The Q2 2026 net loss of $153.1M — including $63.1M in non-cash losses from the Ascendant license agreement — dwarfs the $7.9M revenue and reveals the economic fragility of milestone-dependent revenue models [1]. At $222M market cap with only 29 employees, dilution risk is substantial; any capital raise at current levels would significantly dilute existing shareholders. The company has no approved products, no near-term path to profitability, and operates in competitive therapeutic areas where larger players (Regeneron, AstraZeneca, Novartis) have marketed products and vast R&amp;D budgets.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CUE-221 Phase 2 data readouts in allergic diseases could validate the dual-mechanism anti-IgE approach and de-risk the Boehringer Ingelheim collaboration, potentially triggering additional milestone payments [2]</w:t>
      </w:r>
    </w:p>
    <w:p>
      <w:pPr>
        <w:spacing w:before="40" w:after="40"/>
        <w:ind w:left="283"/>
      </w:pPr>
      <w:r>
        <w:rPr>
          <w:rFonts w:ascii="Calibri" w:hAnsi="Calibri"/>
          <w:b/>
          <w:color w:val="4A6B25"/>
          <w:sz w:val="20"/>
        </w:rPr>
        <w:t xml:space="preserve">2. </w:t>
      </w:r>
      <w:r>
        <w:rPr>
          <w:rFonts w:ascii="Calibri" w:hAnsi="Calibri"/>
          <w:b w:val="0"/>
          <w:color w:val="3A4A28"/>
          <w:sz w:val="20"/>
        </w:rPr>
        <w:t>CUE-401 IND filing and Phase 1 initiation for autoimmune indications would diversify the pipeline beyond a single program and validate the Immuno-STAT platform's broader applicability [2]</w:t>
      </w:r>
    </w:p>
    <w:p>
      <w:pPr>
        <w:spacing w:before="40" w:after="40"/>
        <w:ind w:left="283"/>
      </w:pPr>
      <w:r>
        <w:rPr>
          <w:rFonts w:ascii="Calibri" w:hAnsi="Calibri"/>
          <w:b/>
          <w:color w:val="4A6B25"/>
          <w:sz w:val="20"/>
        </w:rPr>
        <w:t xml:space="preserve">3. </w:t>
      </w:r>
      <w:r>
        <w:rPr>
          <w:rFonts w:ascii="Calibri" w:hAnsi="Calibri"/>
          <w:b w:val="0"/>
          <w:color w:val="3A4A28"/>
          <w:sz w:val="20"/>
        </w:rPr>
        <w:t>Additional strategic partnerships or out-licensing of platform technology to larger pharma companies could provide non-dilutive capital and validate CUE's scientific approach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less than 7 months at current burn rate ($17.4M cash vs. -$33.4M annual FCF) creates urgent financing need; any equity raise at current market cap would substantially dilute existing shareholders [4]</w:t>
      </w:r>
    </w:p>
    <w:p>
      <w:pPr>
        <w:spacing w:before="40" w:after="40"/>
        <w:ind w:left="283"/>
      </w:pPr>
      <w:r>
        <w:rPr>
          <w:rFonts w:ascii="Calibri" w:hAnsi="Calibri"/>
          <w:b/>
          <w:color w:val="4A6B25"/>
          <w:sz w:val="20"/>
        </w:rPr>
        <w:t xml:space="preserve">2. </w:t>
      </w:r>
      <w:r>
        <w:rPr>
          <w:rFonts w:ascii="Calibri" w:hAnsi="Calibri"/>
          <w:b w:val="0"/>
          <w:color w:val="3A4A28"/>
          <w:sz w:val="20"/>
        </w:rPr>
        <w:t>Two CEO transitions in 12 months at a critical clinical development stage introduces execution risk — new CEO Lin must stabilize leadership while advancing CUE-221 Phase 2 and CUE-401 Phase 1 programs simultaneously [3]</w:t>
      </w:r>
    </w:p>
    <w:p>
      <w:pPr>
        <w:spacing w:before="40" w:after="40"/>
        <w:ind w:left="283"/>
      </w:pPr>
      <w:r>
        <w:rPr>
          <w:rFonts w:ascii="Calibri" w:hAnsi="Calibri"/>
          <w:b/>
          <w:color w:val="4A6B25"/>
          <w:sz w:val="20"/>
        </w:rPr>
        <w:t xml:space="preserve">3. </w:t>
      </w:r>
      <w:r>
        <w:rPr>
          <w:rFonts w:ascii="Calibri" w:hAnsi="Calibri"/>
          <w:b w:val="0"/>
          <w:color w:val="3A4A28"/>
          <w:sz w:val="20"/>
        </w:rPr>
        <w:t>Revenue is entirely dependent on lumpy collaboration milestones from Boehringer Ingelheim; any delays in preclinical/clinical milestones would create unpredictable revenue gaps and accelerate the cash burn timeline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Cue Biopharma's core business — developing biologic drugs through clinical trials and FDA regulatory processes — is structurally protected from AI substitution. CUE-221's dual-mechanism anti-IgE antibody and the Immuno-STAT platform require physical clinical trials in human subjects, complex manufacturing of biologic proteins, and navigating regulatory pathways that AI cannot bypass [2]. The specificity of CUE's proprietary selective immunomodulation approach creates intellectual property barriers beyond what AI-driven drug design could replicate. However, AI is accelerating competitor drug discovery in the broader biopharma space, potentially compressing CUE's competitive window as AI tools help rivals design better biologics faster [3]. AI Opportunity (0/1): No evidence of AI-generated revenue or AI-powered products shipping to customers. The company's 29-person team is focused on traditional biologic drug development rather than AI-enabled approaches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Cue Biopharma Q2 2026 Earnings Release — Revenue $7.9M, Net Loss $153.1M (Including $63.1M Non-Cash Ascendant License Loss), Boehringer Ingelheim Preclinical Milestone, August 2026</w:t>
      </w:r>
    </w:p>
    <w:p>
      <w:pPr>
        <w:spacing w:before="20" w:after="20"/>
        <w:ind w:left="170"/>
      </w:pPr>
      <w:r>
        <w:rPr>
          <w:rFonts w:ascii="Calibri" w:hAnsi="Calibri"/>
          <w:b/>
          <w:color w:val="4A6B25"/>
          <w:sz w:val="15"/>
        </w:rPr>
        <w:t xml:space="preserve">2. </w:t>
      </w:r>
      <w:r>
        <w:rPr>
          <w:rFonts w:ascii="Calibri" w:hAnsi="Calibri"/>
          <w:b w:val="0"/>
          <w:color w:val="3A4A28"/>
          <w:sz w:val="17"/>
        </w:rPr>
        <w:t>Cue Biopharma Q1 2026 Earnings Release — Revenue $5.7M, Loss Narrowed 58% YoY, CUE-221 Phase 2, CUE-401 Phase 1 Progress, May 2026</w:t>
      </w:r>
    </w:p>
    <w:p>
      <w:pPr>
        <w:spacing w:before="20" w:after="20"/>
        <w:ind w:left="170"/>
      </w:pPr>
      <w:r>
        <w:rPr>
          <w:rFonts w:ascii="Calibri" w:hAnsi="Calibri"/>
          <w:b/>
          <w:color w:val="4A6B25"/>
          <w:sz w:val="15"/>
        </w:rPr>
        <w:t xml:space="preserve">3. </w:t>
      </w:r>
      <w:r>
        <w:rPr>
          <w:rFonts w:ascii="Calibri" w:hAnsi="Calibri"/>
          <w:b w:val="0"/>
          <w:color w:val="3A4A28"/>
          <w:sz w:val="17"/>
        </w:rPr>
        <w:t>Cue Biopharma Leadership, Culture &amp; Innovation — CEO Shao-Lee Lin Appointed April 2026, Prior CEO Azam September 2025, Glassdoor Reviews, Immuno-STAT Platform, cuebiopharma.com,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Cue Biopharma Financial Statistics — Yahoo Finance, Simply Wall St: Stock Price $30.55, Market Cap $222M, D/E 133.2%, Cash $17.4M, FCF -$33.4M, Insider Selling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