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CVNA</w:t>
      </w:r>
      <w:r>
        <w:rPr>
          <w:rFonts w:ascii="Calibri" w:hAnsi="Calibri"/>
          <w:b/>
          <w:color w:val="1A2010"/>
          <w:sz w:val="40"/>
        </w:rPr>
        <w:t xml:space="preserve">  Carvana Co.</w:t>
      </w:r>
    </w:p>
    <w:p>
      <w:pPr>
        <w:spacing w:after="120"/>
      </w:pPr>
      <w:r>
        <w:rPr>
          <w:rFonts w:ascii="Calibri" w:hAnsi="Calibri"/>
          <w:b/>
          <w:color w:val="6E8450"/>
          <w:sz w:val="18"/>
        </w:rPr>
        <w:t>GROWTH SLEEVE · 2026-08-31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Auto &amp; Truck Dealerships · NYSE · United States</w:t>
      </w:r>
    </w:p>
    <w:p>
      <w:pPr>
        <w:spacing w:after="80"/>
      </w:pPr>
      <w:r>
        <w:rPr>
          <w:rFonts w:ascii="Calibri" w:hAnsi="Calibri"/>
          <w:b w:val="0"/>
          <w:color w:val="3A4A28"/>
          <w:sz w:val="20"/>
        </w:rPr>
        <w:t>Carvana operates the largest e-commerce platform for buying and selling used cars in the United States, offering a fully online purchasing experience with home delivery or vending machine pickup. The company also operates ADESA wholesale auction sites and provides financing, insurance, and vehicle service contracts. Q2 2026 delivered all-time record revenue of $7.376B (+52% YoY) with 197,325 retail units (+38% YoY), record net income of $513M (7.0% margin), and record adjusted EBITDA of $769M (10.4% margin). Founded in 2012, headquartered in Tempe, Arizona. Executed a 5-for-1 stock split effective May 7, 2026.</w:t>
      </w:r>
    </w:p>
    <w:p>
      <w:r>
        <w:rPr>
          <w:rFonts w:ascii="Calibri" w:hAnsi="Calibri"/>
          <w:b/>
          <w:color w:val="6E8450"/>
          <w:sz w:val="18"/>
        </w:rPr>
        <w:t>23,100 Employees · https://www.carvana.com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Carvana executed one of the most remarkable turnarounds in corporate history — from near-bankruptcy ($3.55 stock price in December 2022) to record Q2 2026 revenue of $7.376B (+52% YoY), $513M net income (7.0% margin), and 197,325 retail units sold (+38% YoY) [1]. Both Q1 and Q2 2026 set all-time records, with eight consecutive quarters of 30%+ growth. The company fundamentally transformed its operating model from growth-at-all-costs to disciplined profitable growth while scaling to $27B+ annualized revenue. AI Deployment (1/2): CEO Garcia states AI will 'make a significant impact on the automotive space,' and Carvana uses AI/ML (via Propel AI acquisition) for vehicle pricing, demand forecasting, logistics optimization, and customer chatbots [2]. However, specific quantified AI revenue or cost savings have not been disclosed. Market Share (2/2): Carvana is the undisputed leader in online used car retail, having created and now dominating the category with fully vertically integrated operations from acquisition through reconditioning, financing, and last-mile delivery [1]. Product Pipeline (1/2): Q2 2026 delivered all-time records exceeding guidance, and management projects significant growth in both units and EBITDA for full-year 2026. ADESA wholesale infrastructure provides capacity for continued scaling, but no specific next-gen product launches announced [1]. R&amp;D Intensity (0/1): Carvana is primarily an operations and logistics company; technology investment is significant but R&amp;D spending is not separately disclosed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Carvana's mission to 'change the way people buy and sell cars' has been validated by execution — the company genuinely transformed used car purchasing from a dreaded dealership experience to a seamless online transaction with home delivery and iconic car vending machines [1][2]. The purpose survived near-bankruptcy in 2023 and drove the turnaround. CFO Mark Jenkins stated the 5-for-1 split was to keep 'our stock accessible to all of our team members,' connecting to values of inclusivity. However, the mission describes a better process rather than a transcendent vision of a better world. Community Impact (0/2): Carvana employs 23,100 people and operates reconditioning centers providing manufacturing-style jobs across the US, but no specific charitable foundation, community investment programs, or quantified social impact were identified in public materials. Employee Retention (0/2): No publicly available employee retention metrics. Mixed reports on company culture with rapid scaling creating operational challenges. Insider Buying (0/2): Significant net insider selling — the Garcia family (CEO Ernie Garcia III and father Ernest Garcia II, the largest shareholder) have sold substantial positions. Hindenburg Research alleged insiders 'cashed out billions in stock' [3]. No meaningful open-market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Carvana's financial transformation is extraordinary. Revenue annualized from Q2 2026 exceeds $27B with TTM revenue approximately $25.5B (+52% YoY), and 5-year revenue CAGR of approximately 27% both score at maximum [1][4]. ROE of 60.2% reflects rapidly expanding profitability on a growing equity base and scores at maximum. Forward PEG of approximately 0.80 remains excellent, scoring at maximum — a classic GARP profile given 50%+ revenue growth [4]. D/E of 121% ($5.62B total debt) scores 0.78, reflecting meaningful leverage from the 2023 restructuring offset by improving equity. Forward P/E of 44.0x scores 0.40, penalized but within range for a 50%+ grower. Profit margin of 7.0% (Q2 2026 record) scores 0.35. Calculation: D/E 0.78 (1x) + ROE 1.0 (2x) + Rev YoY 1.0 (1x) + Rev 5yr CAGR 1.0 (2x) + Fwd P/E 0.40 (1x) + Profit Margin 0.35 (1x) + Fwd PEG 1.0 (2x) = 8.53/10 = 9. Liquidity cleared: 9.45M avg volume x $74.15 = $701M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Carvana demonstrates strong infinite game qualities through its remarkable survival and transformation from near-bankruptcy to record profitability. The company's willingness to completely rebuild its operating model — shifting from growth-at-all-costs to disciplined profitability — in service of its founding vision of transforming car buying shows genuine existential flexibility. CEO Garcia's long-term vision and the founding partnership with COO Ben Huston provide authentic leadership continuity. However, governance concerns around the Garcia family's insider selling and the SEC investigation temper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'Changing the way people buy and sell cars' has been validated by execution — Carvana genuinely created a new category and survived near-death in 2023 to emerge stronger, suggesting the cause drives strategic decisions beyond quarterly thinking [1][2]. The mission survived the stock dropping 99% ($360 to $3.55), bankruptcy fears, and massive restructuring — leaders stayed and rebuilt rather than abandoning the cause. However, it's a customer-experience mission rather than a transcendent Just Cause, and the company is only 14 years old with one founder still leading, so multi-decade institutional consistency remains unproven.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founding relationship between CEO Garcia and COO Huston — college friends at Stanford who 'bonded in a way that was completely independent of trying to accomplish things together' — exemplifies trust at the leadership level [2]. The company retained sufficient talent through the existential 2023 crisis to execute a dramatic operational turnaround and scale to 23,100 employees. However, rapid scaling, operational restructuring, and mixed employee culture reports create uncertainty about trust depth across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Carvana positions itself as disrupting traditional dealerships rather than learning from worthy rivals. The company's competitive narrative emphasizes how its online model is superior to the traditional dealership experience, framing competition as a war to win rather than an opportunity to improve. No evidence of management publicly acknowledging competitors' strengths (CarMax's brand trust, traditional dealers' local presence) as inspiration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Carvana's transformation from a growth-at-all-costs company (2020-2022, expanding aggressively with massive losses, stock dropping 99%) to a disciplined, profitable operation (2023-2026, record margins, $1.44B TTM net income) is one of the most dramatic business model pivots in recent corporate history [1]. The company fundamentally rebuilt its cost structure, reduced headcount, renegotiated $5.6B in debt, and refocused on unit economics while maintaining its founding vision. While the crisis forced the pivot, the execution was exceptional and the vision survived — Sinek would recognize this as genuine existential flexibility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decision to restructure rather than liquidate in 2023 — when the stock was at $3.55 and bankruptcy appeared inevitable — required extraordinary courage from Garcia and the leadership team [1][2]. Renegotiating $5.6B in debt, cutting thousands of employees, and completely restructuring operations while maintaining the long-term vision for online car retail demonstrates leadership that chose the hardest path over the easy exit. The subsequent delivery of six consecutive quarters of 40%+ growth with record profitability validates that the courage was strategic, not reckless.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Carvana has completed one of the most dramatic corporate turnarounds in history, delivering consecutive all-time records through Q2 2026: $7.376B revenue (+52% YoY), $513M net income (7.0% margin), $769M adjusted EBITDA (10.4% margin), and 197,325 retail units (+38% YoY) [1]. Both Q1 and Q2 2026 set all-time records across every key metric, demonstrating the turnaround has real operating leverage, not just top-line recovery. At a forward PEG of approximately 0.80, the stock offers classic GARP characteristics for a company growing revenue 52% with expanding profitability. The online used car market remains massively underpenetrated — Carvana's annualized ~790K units represent approximately 2% of the ~40M annual U.S. used car transactions. The ADESA wholesale infrastructure provides capacity to scale significantly further, and management projects continued significant growth for full-year 2026. ROE has expanded to 60.2%, reflecting the operating leverage in the model [4].</w:t>
      </w:r>
    </w:p>
    <w:p>
      <w:pPr>
        <w:spacing w:after="120"/>
      </w:pPr>
      <w:r>
        <w:rPr>
          <w:rFonts w:ascii="Calibri" w:hAnsi="Calibri"/>
          <w:b w:val="0"/>
          <w:color w:val="3A4A28"/>
          <w:sz w:val="20"/>
        </w:rPr>
        <w:t>The bear case centers on governance risk, valuation, and cyclicality. Hindenburg Research published a report alleging Carvana's turnaround is a 'mirage,' claiming $800M in loan sales to a suspected undisclosed related party and accounting manipulation — while insiders have sold $414M net over the past 12 months (191 insider sells vs. 1 buy) [3]. An SEC investigation was disclosed via FOIA, and multiple securities law firms are investigating potential violations. Even setting aside the short-seller allegations, $5.62B in total debt against $2.90B cash creates meaningful leverage risk in a cyclical used car market. At 41x trailing PE, the valuation requires sustained 40%+ revenue growth, and used car prices are cyclical and sensitive to economic conditions — any recession-driven decline in vehicle values would compress gross profit per unit and create inventory markdown risk across the reconditioning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Management projects significant growth in both retail units and adjusted EBITDA for full-year 2026, with Q2 delivering record 197,325 units and $769M EBITDA confirming the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Operating leverage from the ADESA wholesale infrastructure as reconditioning capacity utilization increases — EBITDA margin held at 10.4% in Q2 even as units scaled to 197K, with room for further margin expansion [1]</w:t>
      </w:r>
    </w:p>
    <w:p>
      <w:pPr>
        <w:spacing w:before="40" w:after="40"/>
        <w:ind w:left="283"/>
      </w:pPr>
      <w:r>
        <w:rPr>
          <w:rFonts w:ascii="Calibri" w:hAnsi="Calibri"/>
          <w:b/>
          <w:color w:val="4A6B25"/>
          <w:sz w:val="20"/>
        </w:rPr>
        <w:t xml:space="preserve">3. </w:t>
      </w:r>
      <w:r>
        <w:rPr>
          <w:rFonts w:ascii="Calibri" w:hAnsi="Calibri"/>
          <w:b w:val="0"/>
          <w:color w:val="3A4A28"/>
          <w:sz w:val="20"/>
        </w:rPr>
        <w:t>Accelerating free cash flow from $513M quarterly net income positions Carvana to deleverage the $5.62B debt balance, with potential credit upgrades unlocking lower financing costs and higher equity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and accounting risk — Hindenburg Research alleges undisclosed related party transactions, an SEC investigation is pending, and insiders have sold $414M net over 12 months (191 sells vs. 1 buy) while the Garcia family retains outsized control [3]</w:t>
      </w:r>
    </w:p>
    <w:p>
      <w:pPr>
        <w:spacing w:before="40" w:after="40"/>
        <w:ind w:left="283"/>
      </w:pPr>
      <w:r>
        <w:rPr>
          <w:rFonts w:ascii="Calibri" w:hAnsi="Calibri"/>
          <w:b/>
          <w:color w:val="4A6B25"/>
          <w:sz w:val="20"/>
        </w:rPr>
        <w:t xml:space="preserve">2. </w:t>
      </w:r>
      <w:r>
        <w:rPr>
          <w:rFonts w:ascii="Calibri" w:hAnsi="Calibri"/>
          <w:b w:val="0"/>
          <w:color w:val="3A4A28"/>
          <w:sz w:val="20"/>
        </w:rPr>
        <w:t>Cyclical exposure — at 41x trailing PE, the valuation prices in sustained hypergrowth in a cyclical used car market where declining vehicle prices would compress gross profit per unit and create inventory markdown risk across the reconditioning pipeline</w:t>
      </w:r>
    </w:p>
    <w:p>
      <w:pPr>
        <w:spacing w:before="40" w:after="40"/>
        <w:ind w:left="283"/>
      </w:pPr>
      <w:r>
        <w:rPr>
          <w:rFonts w:ascii="Calibri" w:hAnsi="Calibri"/>
          <w:b/>
          <w:color w:val="4A6B25"/>
          <w:sz w:val="20"/>
        </w:rPr>
        <w:t xml:space="preserve">3. </w:t>
      </w:r>
      <w:r>
        <w:rPr>
          <w:rFonts w:ascii="Calibri" w:hAnsi="Calibri"/>
          <w:b w:val="0"/>
          <w:color w:val="3A4A28"/>
          <w:sz w:val="20"/>
        </w:rPr>
        <w:t>Competitive response from CarMax (investing in online capabilities), AutoNation, and franchised dealer groups narrowing Carvana's first-mover advantage, while $5.62B debt and 121% D/E create financial vulnerability in any downturn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Carvana's core business — buying, inspecting, reconditioning, storing, financing, and delivering physical used cars — requires massive physical infrastructure including ADESA wholesale auction sites, inspection and reconditioning centers, car hauler fleet, and the iconic vending machines that AI cannot replicate [1]. The used car transaction involves physical logistics, title transfer, state regulatory compliance, financing underwriting, and last-mile delivery that are fundamentally physical-world processes. AI-powered pricing and customer acquisition tools could emerge at competitors, but Carvana's vertically integrated physical operations create a deep defensive moat. The company's data advantage from processing hundreds of thousands of transactions annually further strengthens its AI-powered pricing capabilities. AI Opportunity (1/1): Carvana actively uses AI/ML through its Propel AI acquisition for vehicle pricing optimization, demand forecasting, logistics routing, and customer chatbots, generating measurable efficiency improvements in a business processing $22.5B+ in annual vehicle transactions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Carvana Q2 2026 Earnings Release — Record $7.376B revenue (+52%), $513M net income (7.0% margin), 197,325 units (+38%), $769M adjusted EBITDA (10.4% margin), July 29, 2026; Q1 2026: $6.43B revenue, $405M net income, April 29, 2026</w:t>
      </w:r>
    </w:p>
    <w:p>
      <w:pPr>
        <w:spacing w:before="20" w:after="20"/>
        <w:ind w:left="170"/>
      </w:pPr>
      <w:r>
        <w:rPr>
          <w:rFonts w:ascii="Calibri" w:hAnsi="Calibri"/>
          <w:b/>
          <w:color w:val="4A6B25"/>
          <w:sz w:val="15"/>
        </w:rPr>
        <w:t xml:space="preserve">2. </w:t>
      </w:r>
      <w:r>
        <w:rPr>
          <w:rFonts w:ascii="Calibri" w:hAnsi="Calibri"/>
          <w:b w:val="0"/>
          <w:color w:val="3A4A28"/>
          <w:sz w:val="17"/>
        </w:rPr>
        <w:t>Fortune, CNBC — Carvana CEO Ernie Garcia on Leadership, AI in Automotive, Propel AI Acquisition, Cofounders' Complementary Styles, 2025-2026</w:t>
      </w:r>
    </w:p>
    <w:p>
      <w:pPr>
        <w:spacing w:before="20" w:after="20"/>
        <w:ind w:left="170"/>
      </w:pPr>
      <w:r>
        <w:rPr>
          <w:rFonts w:ascii="Calibri" w:hAnsi="Calibri"/>
          <w:b/>
          <w:color w:val="4A6B25"/>
          <w:sz w:val="15"/>
        </w:rPr>
        <w:t xml:space="preserve">3. </w:t>
      </w:r>
      <w:r>
        <w:rPr>
          <w:rFonts w:ascii="Calibri" w:hAnsi="Calibri"/>
          <w:b w:val="0"/>
          <w:color w:val="3A4A28"/>
          <w:sz w:val="17"/>
        </w:rPr>
        <w:t>Hindenburg Research — Accounting Allegations, SEC Investigation via FOIA; GuruFocus/InsiderScreener — $414M net insider selling (191 sells vs. 1 buy) over past 12 months,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CVNA Financial Data: D/E 121%, ROE 60.2%, Profit Margin 7.0%, 5-for-1 Stock Split May 2026, Revenue 5yr CAGR 27.3%,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CNBC — CVNA Quote, Stock Price $74.15, Forward P/E 44.0x, Avg Volume 9.45M,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