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CVX</w:t>
      </w:r>
      <w:r>
        <w:rPr>
          <w:rFonts w:ascii="Calibri" w:hAnsi="Calibri"/>
          <w:b/>
          <w:color w:val="1A2010"/>
          <w:sz w:val="40"/>
        </w:rPr>
        <w:t xml:space="preserve">  Chevron Corporation</w:t>
      </w:r>
    </w:p>
    <w:p>
      <w:pPr>
        <w:spacing w:after="120"/>
      </w:pPr>
      <w:r>
        <w:rPr>
          <w:rFonts w:ascii="Calibri" w:hAnsi="Calibri"/>
          <w:b/>
          <w:color w:val="6E8450"/>
          <w:sz w:val="18"/>
        </w:rPr>
        <w:t>GROWTH SLEEVE · 2026-10-21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NYQ · United States</w:t>
      </w:r>
    </w:p>
    <w:p>
      <w:pPr>
        <w:spacing w:after="80"/>
      </w:pPr>
      <w:r>
        <w:rPr>
          <w:rFonts w:ascii="Calibri" w:hAnsi="Calibri"/>
          <w:b w:val="0"/>
          <w:color w:val="3A4A28"/>
          <w:sz w:val="20"/>
        </w:rPr>
        <w:t>Chevron Corporation is the second-largest U.S. integrated energy company, operating through Upstream (exploration, production, LNG) and Downstream (refining, marketing, chemicals) segments across North America, South America, Europe, Africa, Asia, and Australia. Founded in 1879 and headquartered in Houston, Texas, Chevron posted Q2 2026 revenue of approximately $70B (up 56% YoY) driven by higher commodity prices and increased production volumes, with TTM revenue of $209B and production growth guidance of 7-10% for 2026 [1][2].</w:t>
      </w:r>
    </w:p>
    <w:p>
      <w:r>
        <w:rPr>
          <w:rFonts w:ascii="Calibri" w:hAnsi="Calibri"/>
          <w:b/>
          <w:color w:val="6E8450"/>
          <w:sz w:val="18"/>
        </w:rPr>
        <w:t>43,039 Employees · https://www.chevron.com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Chevron has maintained its position as the second-largest U.S. oil major through disciplined capital allocation, successfully completing the Tengizchevroil (TCO) expansion in Kazakhstan, growing Permian Basin production to record levels, and expanding the Gulf of Mexico deepwater portfolio [1][2]. The Hess acquisition attempt (ultimately facing legal challenges) demonstrated ambition to consolidate premium assets. AI Deployment (1/2): Chevron has scaled AI from a small skunkworks team to 15+ enterprise use cases including drilling optimization, predictive maintenance, exploration analytics, and financial modeling; CFO highlighted AI's role in defining business value across capital projects [3]. However, AI is an operational efficiency tool, not a revenue-generating product. Market Share (2/2): Holds approximately 10% of global integrated oil major production, with dominant positions in the Permian Basin, Gulf of Mexico, and Australian LNG; Q2 2026 revenue of ~$70B reflects the scale of operations [1][2]. Pipeline (1/2): Production growth guidance of 7-10% for 2026, $18-19B capex budget funding new Permian wells and deepwater developments, but the low-carbon pipeline (carbon capture, hydrogen) remains modest compared to European peers [2]. R&amp;D Intensity (0/1): Energy majors invest relatively little in R&amp;D as a percentage of revenue; Chevron's technology spending is oriented toward extraction efficiency rather than breakthrough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'Developing the energy that improves lives and powers the world forward' is a legitimate purpose that connects energy production to human development, but it is generic among integrated oil majors and does not differentiate Chevron from ExxonMobil, Shell, or BP [2]. The mission drives capital allocation toward reliable energy supply but has not inspired distinctive strategic choices beyond peer behavior. Community Impact (1/2): Chevron is a major employer in operational communities (43,000 employees) with established community investment programs, but the Ecuador contamination legacy (Texaco-era Lago Agrio litigation) and ongoing Congressional inquiries about methane emissions undermine credibility [4]. The company removed ESG modifiers from executive compensation and faces BDS-related shareholder proposals. Employee Retention (1/2): CEO Mike Wirth has been with Chevron for 40+ years, and the integrated oil major culture typically produces long-tenured employees, but no specific voluntary turnover data or Glassdoor ratings were available to validate this [3]. Insider Buying (0/2): No evidence of meaningful insider purchases by Wirth or senior executives in the trailing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(forced sleeve). Chevron's financial profile is exceptionally strong on most metrics: D/E of 19.0% (score 1.0) reflects conservative leverage, Forward P/E of 14.5x (score 1.0) and PEG of 0.97 (score 1.0, 2x weight) indicate attractive valuation relative to earnings growth [1]. Revenue growth YoY of 53.5% (score 1.0) reflects the Q2 2026 commodity price surge, and 5-year revenue CAGR of approximately 5.0% (score 0.67, 2x weight) captures the post-COVID recovery. ROE of 12.2% (score 0.81, 2x weight) is solid but below the 15% target, and profit margin of 9.8% (score 0.49) reflects downstream margin compression. Daily dollar volume of $1.9B provides maximum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Chevron demonstrates mixed infinite game characteristics: a 147-year operating history and 39 consecutive years of dividend growth reflect organizational durability, but the company's primary strategic bet remains on traditional oil and gas extraction with modest low-carbon investments. CEO Wirth's deep organizational tenure provides leadership stability, but the company's resistance to more aggressive energy transition investments (compared to European peers) and ongoing environmental controversies suggest a finite-minded focus on maximizing the current fossil fuel paradigm rather than playing for the next energy era.</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the energy that improves lives and powers the world forward' connects energy production to human welfare, and Chevron's 147-year history of providing essential energy validates the cause's durability [2]. However, the purpose does not differentiate Chevron from any other energy company and does not address the tension between fossil fuel dependence and climate imperatives. The company's removal of ESG modifiers from executive compensation signals that the broader 'powering the world forward' purpose does not extend to sustainability leadership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Mike Wirth's 40+ year career at Chevron, rising from engineer to CEO, exemplifies the deep organizational loyalty that characterizes integrated oil major cultures [3]. The engineering-driven workforce typically produces long-tenured employees with strong professional identity. However, no specific voluntary turnover data, Glassdoor ratings, or employee sentiment metrics were available to substantiate claims of trust-based culture beyond industry norms.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Chevron competes with ExxonMobil, Shell, BP, and TotalEnergies, and has responded to competitive pressure by pursuing the Hess acquisition to strengthen its Guyana position — a direct response to ExxonMobil's dominant Stabroek block operations [2]. The company benchmarks operational efficiency against peers and has adopted best practices from competitors in Permian Basin development. However, the competitive approach remains conventionally win-oriented rather than improvement-seeking.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Chevron has invested in carbon capture, hydrogen, and renewable fuels, but these efforts represent a small fraction of the $18-19B annual capex budget compared to European peers like Shell and TotalEnergies that have committed more aggressively to energy transition [2][4]. The company's primary strategic bet — maximizing Permian Basin and deepwater production — is an optimization of the existing business model rather than a reinvention. The 2025 relocation from San Ramon to Houston reinforced the company's identity as a traditional oil major.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Chevron maintains $18-19B in annual capital investment through commodity price volatility, sustained 39 consecutive years of dividend growth (including through the 2020 oil price collapse), and pursued the transformative Hess acquisition despite legal challenges [1][2]. The company's willingness to invest counter-cyclically in major projects (TCO expansion, Gulf of Mexico deepwater) demonstrates long-term conviction. However, the reluctance to make bold energy transition bets — modest carbon capture and hydrogen investments while doubling down on fossil fuels — reflects courage within the current paradigm rather than the transformative leadership of building something genuinely new.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Chevron at $225.71 with a $443B market cap is the second-largest U.S. integrated oil major delivering a powerful Q2 2026 — revenue surged 56% YoY to approximately $70B and net income jumped to $12.1B (from $2.5B a year earlier) on the back of higher commodity prices and improved production volumes [1][2]. The valuation is compelling: Forward P/E of 14.5x and PEG of 0.97 are well below the market average, D/E of 19% reflects conservative leverage, and the 3.15% dividend yield is backed by 39 consecutive years of growth and 114 years of uninterrupted payments. Production growth guidance of 7-10% for 2026, with $18-19B in capex funding Permian Basin, Gulf of Mexico, and international expansion, provides clear volume catalysts [2].</w:t>
      </w:r>
    </w:p>
    <w:p>
      <w:pPr>
        <w:spacing w:after="120"/>
      </w:pPr>
      <w:r>
        <w:rPr>
          <w:rFonts w:ascii="Calibri" w:hAnsi="Calibri"/>
          <w:b w:val="0"/>
          <w:color w:val="3A4A28"/>
          <w:sz w:val="20"/>
        </w:rPr>
        <w:t>The bear case centers on commodity price dependence and cyclicality. Q1 2026 was significantly weaker ($48.6B revenue, +2.1% YoY) than Q2's surge, demonstrating the earnings volatility that comes with oil price exposure [1]. The 5-year revenue CAGR of approximately 5.0% masks extreme year-to-year swings (2022 peak of $236B to 2025 trough of $184B), and profit margin of 9.8% is compressed versus historical levels. ROE of 12.2% is respectable but below the 15% target, reflecting the capital-intensive nature of the business. The payout ratio of 67.2% leaves moderate room for dividend growth but constrains buyback flexibility if oil prices decline. Long-term energy transition risk remains the elephant in the room: Chevron's modest investments in carbon capture and hydrogen pale next to European peers, and an AI-accelerated shift to renewables could strand upstream assets on a 15-20 year horizon [3][4]. The Ecuador contamination legacy, Congressional methane inquiries, and BDS-related shareholder proposals create ongoing ESG and reputational drag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Production growth guidance of 7-10% for 2026 with $18-19B capex funding Permian Basin expansion, Gulf of Mexico deepwater developments, and Tengiz expansion completion — providing clear volume-driven earnings upside independent of commodity prices [2]</w:t>
      </w:r>
    </w:p>
    <w:p>
      <w:pPr>
        <w:spacing w:before="40" w:after="40"/>
        <w:ind w:left="283"/>
      </w:pPr>
      <w:r>
        <w:rPr>
          <w:rFonts w:ascii="Calibri" w:hAnsi="Calibri"/>
          <w:b/>
          <w:color w:val="4A6B25"/>
          <w:sz w:val="20"/>
        </w:rPr>
        <w:t xml:space="preserve">2. </w:t>
      </w:r>
      <w:r>
        <w:rPr>
          <w:rFonts w:ascii="Calibri" w:hAnsi="Calibri"/>
          <w:b w:val="0"/>
          <w:color w:val="3A4A28"/>
          <w:sz w:val="20"/>
        </w:rPr>
        <w:t>Forward P/E of 14.5x and PEG of 0.97 represent one of the most attractive valuations among large-cap energy stocks, with earnings expected to grow from $10.39 trailing to $15.57 forward EPS as commodity tailwinds persist [1]</w:t>
      </w:r>
    </w:p>
    <w:p>
      <w:pPr>
        <w:spacing w:before="40" w:after="40"/>
        <w:ind w:left="283"/>
      </w:pPr>
      <w:r>
        <w:rPr>
          <w:rFonts w:ascii="Calibri" w:hAnsi="Calibri"/>
          <w:b/>
          <w:color w:val="4A6B25"/>
          <w:sz w:val="20"/>
        </w:rPr>
        <w:t xml:space="preserve">3. </w:t>
      </w:r>
      <w:r>
        <w:rPr>
          <w:rFonts w:ascii="Calibri" w:hAnsi="Calibri"/>
          <w:b w:val="0"/>
          <w:color w:val="3A4A28"/>
          <w:sz w:val="20"/>
        </w:rPr>
        <w:t>114 years of uninterrupted dividend payments with 39 consecutive years of growth and a 3.15% current yield provide compelling total return in a higher-for-longer interest rate environment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remains extremely commodity-price dependent — Q1 2026 revenue grew only 2.1% YoY versus Q2's 56% surge, and the 5-year revenue CAGR of 5.0% masks swings from $236B (2022) to $184B (2025), making earnings forecasting unreliable [1][2]</w:t>
      </w:r>
    </w:p>
    <w:p>
      <w:pPr>
        <w:spacing w:before="40" w:after="40"/>
        <w:ind w:left="283"/>
      </w:pPr>
      <w:r>
        <w:rPr>
          <w:rFonts w:ascii="Calibri" w:hAnsi="Calibri"/>
          <w:b/>
          <w:color w:val="4A6B25"/>
          <w:sz w:val="20"/>
        </w:rPr>
        <w:t xml:space="preserve">2. </w:t>
      </w:r>
      <w:r>
        <w:rPr>
          <w:rFonts w:ascii="Calibri" w:hAnsi="Calibri"/>
          <w:b w:val="0"/>
          <w:color w:val="3A4A28"/>
          <w:sz w:val="20"/>
        </w:rPr>
        <w:t>Long-term energy transition risk: Chevron's modest carbon capture and hydrogen investments ($1-2B annually) pale against the $18-19B traditional capex budget, and an AI-accelerated shift to renewables could strand upstream assets valued at tens of billions [3][4]</w:t>
      </w:r>
    </w:p>
    <w:p>
      <w:pPr>
        <w:spacing w:before="40" w:after="40"/>
        <w:ind w:left="283"/>
      </w:pPr>
      <w:r>
        <w:rPr>
          <w:rFonts w:ascii="Calibri" w:hAnsi="Calibri"/>
          <w:b/>
          <w:color w:val="4A6B25"/>
          <w:sz w:val="20"/>
        </w:rPr>
        <w:t xml:space="preserve">3. </w:t>
      </w:r>
      <w:r>
        <w:rPr>
          <w:rFonts w:ascii="Calibri" w:hAnsi="Calibri"/>
          <w:b w:val="0"/>
          <w:color w:val="3A4A28"/>
          <w:sz w:val="20"/>
        </w:rPr>
        <w:t>ESG and reputational headwinds from Ecuador contamination legacy, Congressional methane emission inquiries, BDS-related shareholder proposals, and removal of ESG metrics from executive compensation signal governance concerns for institutional ESG-mandated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Chevron's core business — extracting hydrocarbons from subsurface reservoirs, operating refineries, transporting and marketing fuels — is fundamentally physical and cannot be substituted by AI [1][2]. The upstream segment requires geological expertise, massive capital equipment, and regulatory permits that create insurmountable barriers to AI-only competition. Downstream refining involves complex chemical processes and decades-old infrastructure that AI enhances but cannot replace. The company's 10-K acknowledges AI adoption risk, specifically the 'inability to adopt such technologies at the same pace as competitors,' which is an efficiency concern, not an existential one [3]. The long-term energy transition risk (renewables displacing fossil fuels, potentially accelerated by AI-driven efficiency in solar/wind) is real but operates on a multi-decade timeline. AI Opportunity (1/1): Chevron has identified 15+ enterprise AI use cases spanning drilling optimization, predictive maintenance, exploration analytics, and capital project forecasting; the CFO has publicly championed AI for financial decision-making, and the company is investing in scaling its internal AI team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Chevron Q2 2026 Earnings — Revenue ~$70B (up 56% YoY), Net Income $12.1B, Adjusted Earnings $12B — Offshore Technology, Hudson Labs, July 2026</w:t>
      </w:r>
    </w:p>
    <w:p>
      <w:pPr>
        <w:spacing w:before="20" w:after="20"/>
        <w:ind w:left="170"/>
      </w:pPr>
      <w:r>
        <w:rPr>
          <w:rFonts w:ascii="Calibri" w:hAnsi="Calibri"/>
          <w:b/>
          <w:color w:val="4A6B25"/>
          <w:sz w:val="15"/>
        </w:rPr>
        <w:t xml:space="preserve">2. </w:t>
      </w:r>
      <w:r>
        <w:rPr>
          <w:rFonts w:ascii="Calibri" w:hAnsi="Calibri"/>
          <w:b w:val="0"/>
          <w:color w:val="3A4A28"/>
          <w:sz w:val="17"/>
        </w:rPr>
        <w:t>Chevron Q1 2026 Earnings and 2026 Outlook — Revenue $48.6B (up 2.1% YoY), Production Growth Guidance 7-10%, Capex $18-19B — TIKR, Hudson Labs, April 2026</w:t>
      </w:r>
    </w:p>
    <w:p>
      <w:pPr>
        <w:spacing w:before="20" w:after="20"/>
        <w:ind w:left="170"/>
      </w:pPr>
      <w:r>
        <w:rPr>
          <w:rFonts w:ascii="Calibri" w:hAnsi="Calibri"/>
          <w:b/>
          <w:color w:val="4A6B25"/>
          <w:sz w:val="15"/>
        </w:rPr>
        <w:t xml:space="preserve">3. </w:t>
      </w:r>
      <w:r>
        <w:rPr>
          <w:rFonts w:ascii="Calibri" w:hAnsi="Calibri"/>
          <w:b w:val="0"/>
          <w:color w:val="3A4A28"/>
          <w:sz w:val="17"/>
        </w:rPr>
        <w:t>Chevron AI Strategy and Leadership — 15+ Enterprise AI Use Cases, CFO AI Initiatives, CEO Mike Wirth 40+ Year Tenure, FY2025 10-K AI Risk Disclosure — Fortune, SEC Filings, nPlan, 2025-2026</w:t>
      </w:r>
    </w:p>
    <w:p>
      <w:pPr>
        <w:spacing w:before="20" w:after="20"/>
        <w:ind w:left="170"/>
      </w:pPr>
      <w:r>
        <w:rPr>
          <w:rFonts w:ascii="Calibri" w:hAnsi="Calibri"/>
          <w:b/>
          <w:color w:val="4A6B25"/>
          <w:sz w:val="15"/>
        </w:rPr>
        <w:t xml:space="preserve">4. </w:t>
      </w:r>
      <w:r>
        <w:rPr>
          <w:rFonts w:ascii="Calibri" w:hAnsi="Calibri"/>
          <w:b w:val="0"/>
          <w:color w:val="3A4A28"/>
          <w:sz w:val="17"/>
        </w:rPr>
        <w:t>Chevron ESG Developments — Ecuador Legacy Contamination, Congressional Methane Inquiries, BDS Shareholder Proposals, ESG Comp Modifier Removed, Standard Ethics Rating EE- — Bloomberg, Argus, SEC Filings,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