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CWAN</w:t>
      </w:r>
      <w:r>
        <w:rPr>
          <w:rFonts w:ascii="Calibri" w:hAnsi="Calibri"/>
          <w:b/>
          <w:color w:val="1A2010"/>
          <w:sz w:val="40"/>
        </w:rPr>
        <w:t xml:space="preserve">  Clearwater Analytics Holdings, Inc.</w:t>
      </w:r>
    </w:p>
    <w:p>
      <w:pPr>
        <w:spacing w:after="120"/>
      </w:pPr>
      <w:r>
        <w:rPr>
          <w:rFonts w:ascii="Calibri" w:hAnsi="Calibri"/>
          <w:b/>
          <w:color w:val="6E8450"/>
          <w:sz w:val="18"/>
        </w:rPr>
        <w:t>GROWTH SLEEVE · 2026-10-21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NYQ · United States</w:t>
      </w:r>
    </w:p>
    <w:p>
      <w:pPr>
        <w:spacing w:after="80"/>
      </w:pPr>
      <w:r>
        <w:rPr>
          <w:rFonts w:ascii="Calibri" w:hAnsi="Calibri"/>
          <w:b w:val="0"/>
          <w:color w:val="3A4A28"/>
          <w:sz w:val="20"/>
        </w:rPr>
        <w:t>Clearwater Analytics provides a cloud-native SaaS platform for automated investment data aggregation, reconciliation, accounting, and reporting, serving insurers, asset managers, hedge funds, banks, corporations, and government entities. Founded in 2004 in Boise, Idaho, the company reported Q1 2026 revenue of $221.2M (up 74% YoY) with annualized recurring revenue of $872M, bolstered by acquisitions of Enfusion, Beacon, and Bistro. A go-private transaction at $24.55/share led by Permira and Warburg Pincus closed in Q2 2026 [1][2].</w:t>
      </w:r>
    </w:p>
    <w:p>
      <w:r>
        <w:rPr>
          <w:rFonts w:ascii="Calibri" w:hAnsi="Calibri"/>
          <w:b/>
          <w:color w:val="6E8450"/>
          <w:sz w:val="18"/>
        </w:rPr>
        <w:t>3,000 Employees · https://www.cwan.com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Clearwater Analytics built the leading SaaS platform for investment accounting, growing from a Boise startup to $872M ARR by executing a multi-acquisition strategy — integrating Enfusion (order/execution management), Beacon (compliance), and Bistro (analytics) into a unified platform that now covers the full investment lifecycle [1][2]. Revenue grew 74% YoY in Q1 2026, demonstrating strong execution on both organic growth and M&amp;A integration. AI Deployment (1/2): The company is actively building 'agentic AI' capabilities into its platform, with COO Subi Sethi leading the effort to deliver AI-powered real-time data insights; post-merger, leadership has emphasized 'investing aggressively to deliver next-gen, agentic capabilities' [3]. However, AI features are not yet a primary revenue driver. Market Share (2/2): Dominant position in investment accounting SaaS, serving the world's largest insurers, asset managers, and banks; $872M ARR growing 77% YoY (including acquisitions) reflects expanding market leadership in a specialized vertical with high switching costs [1]. Pipeline (1/2): Expanding into order/execution management, compliance monitoring, and risk analytics through acquisitions creates a broader platform play, and the agentic AI roadmap could differentiate the platform further [3]. The go-private structure limits public visibility into future pipeline developments. R&amp;D Intensity (1/1): SaaS company investing significantly in platform development, AI capabilities, and integration of acquired technologies across the multi-product suite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Clearwater's purpose — automating investment accounting to help the world's largest investors make better decisions through clean, validated data — is specific to its vertical and has driven consistent product and acquisition strategy [1]. However, the mission is fundamentally operational (better data plumbing for financial institutions) rather than transformatively inspiring, and it does not extend beyond the investment management industry. Community Impact (0/2): No evidence of community programs, environmental initiatives, or broader social engagement; the company's cloud-based operations have a modest environmental footprint but no distinctive impact. Employee Retention (1/2): CEO Sandeep Sahai promoted key executives from within (COO Subi Sethi, CAO Cindy Blendu), citing a 'culture of innovation' and 'responsibility, accountability, and excellence'; the internal promotion pattern suggests organizational stability [3]. Insider Buying (1/2): The Permira/Warburg Pincus take-private at $24.55/share represents strong institutional conviction in Clearwater's value, though this is PE investment rather than traditional insider buying; Kaskela Law's investigation into the deal's fairness to public shareholders adds a governance question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Clearwater's financial profile shows strong revenue momentum offset by unprofitability: revenue growth YoY of 74.4% (score 1.0) and estimated 5-year revenue CAGR of approximately 30% (score 1.0, 2x weight) reflect both organic expansion and acquisition-driven growth [1]. D/E of 41.9% (score 1.0) is conservative, and Forward P/E of 28.0x (score 0.80) is reasonable for a high-growth SaaS company. However, ROE of -3.1% (score 0.0, 2x weight) and profit margin of -5.8% (score 0.0) reflect GAAP losses driven by acquisition-related amortization and integration costs. PEG ratio of 1.78 (score 0.61, 2x weight) is moderate. Daily dollar volume of $107M provides adequate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Clearwater Analytics demonstrates moderate infinite game characteristics: the company has executed a multi-acquisition platform expansion strategy (Enfusion, Beacon, Bistro) that transforms it from a single-product investment accounting tool to a comprehensive investment management platform, showing existential flexibility. However, the go-private transaction prioritizes PE returns over long-term public market stakeholder building, and the mission — while specific and consistently pursued — is operationally narrow rather than broadly inspiring.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Automating investment accounting and analytics to help the world's largest investors make better decisions with cleaner data is a specific, durable purpose that has guided consistent product development and M&amp;A strategy over 20+ years [1]. The cause is well-defined and has survived leadership transitions and strategic pivots. However, it is fundamentally a B2B operational efficiency mission rather than a cause that inspires beyond the investment management industry.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Sahai's promotion of COO Sethi and CAO Blendu from within, citing their roles in fostering innovation and accountability, suggests a leadership team that values internal development over external hires [3]. The acquisition integration challenge — absorbing Enfusion, Beacon, and Bistro teams — is a test of organizational trust that appears to be proceeding without reported friction. However, the go-private transaction creates uncertainty about employee retention and culture under PE ownership.</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Clearwater competes with BlackRock Aladdin, Bloomberg, SS&amp;C, and Eagle Investment Systems, and has responded to competitive pressure by acquiring capabilities (Enfusion for OEMS, Beacon for compliance) rather than trying to build everything internally [2]. This acquisition strategy demonstrates a willingness to recognize where competitors excel and to close gaps pragmatically. However, no public evidence of specific learning from rival approaches or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Clearwater has reinvented itself from a single-product investment accounting platform to a comprehensive multi-product suite spanning OEMS, compliance, risk, and analytics through three strategic acquisitions in rapid succession [1][2]. The transition from public to private company (Permira/Warburg Pincus take-private) is itself a form of existential flexibility, prioritizing aggressive investment in AI and platform capabilities over quarterly earnings management. Each pivot expanded the addressable market while maintaining the core data-quality mission.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Executing three major acquisitions (Enfusion, Beacon, Bistro) in rapid succession while maintaining 77% ARR growth demonstrates willingness to make big, potentially risky strategic bets [1]. The decision to go private — accepting short-term shareholder fairness scrutiny in exchange for long-term investment freedom — shows conviction in the platform's potential. Post-merger, leadership's commitment to 'investing aggressively in agentic AI capabilities' signals continued courage to invest ahead of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Clearwater Analytics at $24.56 (near the $24.55 go-private price) with a $7.3B market cap is a high-growth investment accounting SaaS platform that has built the leading vertical solution for insurers, asset managers, and banks [1][2]. Q1 2026 revenue of $221.2M grew 74% YoY, ARR reached $872M (up 77% YoY), and the multi-acquisition strategy (Enfusion, Beacon, Bistro) has expanded the platform from accounting into order management, compliance, and analytics. Under PE ownership (Permira/Warburg Pincus), the company plans to invest aggressively in agentic AI capabilities and continue expanding its total addressable market. The enterprise SaaS model with high switching costs and recurring revenue provides durability even through market cycles [1][3].</w:t>
      </w:r>
    </w:p>
    <w:p>
      <w:pPr>
        <w:spacing w:after="120"/>
      </w:pPr>
      <w:r>
        <w:rPr>
          <w:rFonts w:ascii="Calibri" w:hAnsi="Calibri"/>
          <w:b w:val="0"/>
          <w:color w:val="3A4A28"/>
          <w:sz w:val="20"/>
        </w:rPr>
        <w:t>The bear case centers on the go-private structure and current unprofitability. The $24.55/share take-private price has been questioned by Kaskela Law as potentially undervaluing the company, limiting public market upside [4]. GAAP losses persist with ROE of -3.1% and profit margin of -5.8%, driven by acquisition-related amortization and integration costs from three major deals executed in rapid succession [1]. The 74% revenue growth is heavily acquisition-inflated — organic growth rates are lower — and integration risk across Enfusion, Beacon, and Bistro could create execution challenges that depress the trajectory. The absence of forward guidance (due to the pending/completed merger) removes visibility into management's confidence. Under PE ownership, cost optimization pressure could undermine the innovation culture that built the platform, and the eventual PE exit (3-5 year horizon) creates uncertainty about long-term strategic direction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Annualized recurring revenue of $872M growing 77% YoY with high switching costs in regulated financial services creates a durable revenue base that compounds through client expansions and cross-selling across the integrated platform [1]</w:t>
      </w:r>
    </w:p>
    <w:p>
      <w:pPr>
        <w:spacing w:before="40" w:after="40"/>
        <w:ind w:left="283"/>
      </w:pPr>
      <w:r>
        <w:rPr>
          <w:rFonts w:ascii="Calibri" w:hAnsi="Calibri"/>
          <w:b/>
          <w:color w:val="4A6B25"/>
          <w:sz w:val="20"/>
        </w:rPr>
        <w:t xml:space="preserve">2. </w:t>
      </w:r>
      <w:r>
        <w:rPr>
          <w:rFonts w:ascii="Calibri" w:hAnsi="Calibri"/>
          <w:b w:val="0"/>
          <w:color w:val="3A4A28"/>
          <w:sz w:val="20"/>
        </w:rPr>
        <w:t>PE ownership enables aggressive AI investment without quarterly earnings pressure — leadership has committed to building next-gen agentic capabilities that could differentiate the platform against Bloomberg and BlackRock Aladdin competitors [3]</w:t>
      </w:r>
    </w:p>
    <w:p>
      <w:pPr>
        <w:spacing w:before="40" w:after="40"/>
        <w:ind w:left="283"/>
      </w:pPr>
      <w:r>
        <w:rPr>
          <w:rFonts w:ascii="Calibri" w:hAnsi="Calibri"/>
          <w:b/>
          <w:color w:val="4A6B25"/>
          <w:sz w:val="20"/>
        </w:rPr>
        <w:t xml:space="preserve">3. </w:t>
      </w:r>
      <w:r>
        <w:rPr>
          <w:rFonts w:ascii="Calibri" w:hAnsi="Calibri"/>
          <w:b w:val="0"/>
          <w:color w:val="3A4A28"/>
          <w:sz w:val="20"/>
        </w:rPr>
        <w:t>Multi-acquisition platform expansion (Enfusion OEMS, Beacon compliance, Bistro analytics) transforms Clearwater from single-product to comprehensive investment management suite, expanding TAM from $10B+ investment accounting market to the broader investment technology ecosystem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Go-private at $24.55/share limits public market upside and Kaskela Law investigation raises questions about deal fairness to public shareholders, while PE exit in 3-5 years creates long-term strategic uncertainty [4]</w:t>
      </w:r>
    </w:p>
    <w:p>
      <w:pPr>
        <w:spacing w:before="40" w:after="40"/>
        <w:ind w:left="283"/>
      </w:pPr>
      <w:r>
        <w:rPr>
          <w:rFonts w:ascii="Calibri" w:hAnsi="Calibri"/>
          <w:b/>
          <w:color w:val="4A6B25"/>
          <w:sz w:val="20"/>
        </w:rPr>
        <w:t xml:space="preserve">2. </w:t>
      </w:r>
      <w:r>
        <w:rPr>
          <w:rFonts w:ascii="Calibri" w:hAnsi="Calibri"/>
          <w:b w:val="0"/>
          <w:color w:val="3A4A28"/>
          <w:sz w:val="20"/>
        </w:rPr>
        <w:t>GAAP losses persist with ROE of -3.1% and profit margin of -5.8%, and the 74% revenue growth rate is heavily acquisition-inflated — organic growth trajectory is unclear without forward guidance [1]</w:t>
      </w:r>
    </w:p>
    <w:p>
      <w:pPr>
        <w:spacing w:before="40" w:after="40"/>
        <w:ind w:left="283"/>
      </w:pPr>
      <w:r>
        <w:rPr>
          <w:rFonts w:ascii="Calibri" w:hAnsi="Calibri"/>
          <w:b/>
          <w:color w:val="4A6B25"/>
          <w:sz w:val="20"/>
        </w:rPr>
        <w:t xml:space="preserve">3. </w:t>
      </w:r>
      <w:r>
        <w:rPr>
          <w:rFonts w:ascii="Calibri" w:hAnsi="Calibri"/>
          <w:b w:val="0"/>
          <w:color w:val="3A4A28"/>
          <w:sz w:val="20"/>
        </w:rPr>
        <w:t>Integration risk across three major acquisitions (Enfusion, Beacon, Bistro) executed in rapid succession could strain organizational capacity and distract from product development at a critical time when AI competitors are emerging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Clearwater's investment accounting platform benefits from deep integration with client workflows, multi-asset class complexity, and regulatory compliance requirements that create high switching costs — replacing an embedded accounting system is far harder than adopting a new AI tool [1]. Financial services data accuracy is non-negotiable, and regulators require auditable data trails that generic AI platforms cannot easily provide. However, AI-powered analytics startups and major platform vendors (Bloomberg, BlackRock Aladdin) could develop competing investment accounting solutions using LLMs and automation that match Clearwater's core capabilities at lower cost, particularly for less complex portfolios [2]. AI Opportunity (1/1): Clearwater IS building AI into the platform — the company's post-merger strategy explicitly prioritizes 'next-gen agentic capabilities,' with COO Sethi leading AI-powered real-time data insights that could differentiate the platform and increase client value [3]. AI is an enabler that strengthens the moat rather than threatening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Clearwater Analytics Q1 2026 Earnings — Revenue $221.2M (up 74% YoY), ARR $872M (up 77%), Adjusted EBITDA $77.4M at 35% margin, GAAP net loss $2.8M — SEC 8-K, MarketScreener, May 2026</w:t>
      </w:r>
    </w:p>
    <w:p>
      <w:pPr>
        <w:spacing w:before="20" w:after="20"/>
        <w:ind w:left="170"/>
      </w:pPr>
      <w:r>
        <w:rPr>
          <w:rFonts w:ascii="Calibri" w:hAnsi="Calibri"/>
          <w:b/>
          <w:color w:val="4A6B25"/>
          <w:sz w:val="15"/>
        </w:rPr>
        <w:t xml:space="preserve">2. </w:t>
      </w:r>
      <w:r>
        <w:rPr>
          <w:rFonts w:ascii="Calibri" w:hAnsi="Calibri"/>
          <w:b w:val="0"/>
          <w:color w:val="3A4A28"/>
          <w:sz w:val="17"/>
        </w:rPr>
        <w:t>Clearwater Analytics Corporate Profile and Go-Private — Permira/Warburg Pincus take-private at $24.55/share, closed Q2 2026, 3,000 employees, Boise headquarters — BusinessWire, SEC Filings, 2025-2026</w:t>
      </w:r>
    </w:p>
    <w:p>
      <w:pPr>
        <w:spacing w:before="20" w:after="20"/>
        <w:ind w:left="170"/>
      </w:pPr>
      <w:r>
        <w:rPr>
          <w:rFonts w:ascii="Calibri" w:hAnsi="Calibri"/>
          <w:b/>
          <w:color w:val="4A6B25"/>
          <w:sz w:val="15"/>
        </w:rPr>
        <w:t xml:space="preserve">3. </w:t>
      </w:r>
      <w:r>
        <w:rPr>
          <w:rFonts w:ascii="Calibri" w:hAnsi="Calibri"/>
          <w:b w:val="0"/>
          <w:color w:val="3A4A28"/>
          <w:sz w:val="17"/>
        </w:rPr>
        <w:t>Clearwater Analytics Leadership and AI Strategy — CEO Sahai, COO Sethi promoted for AI innovation, CAO Blendu, agentic AI investment commitment post-merger — BusinessWire, Built In, April 2025-2026</w:t>
      </w:r>
    </w:p>
    <w:p>
      <w:pPr>
        <w:spacing w:before="20" w:after="20"/>
        <w:ind w:left="170"/>
      </w:pPr>
      <w:r>
        <w:rPr>
          <w:rFonts w:ascii="Calibri" w:hAnsi="Calibri"/>
          <w:b/>
          <w:color w:val="4A6B25"/>
          <w:sz w:val="15"/>
        </w:rPr>
        <w:t xml:space="preserve">4. </w:t>
      </w:r>
      <w:r>
        <w:rPr>
          <w:rFonts w:ascii="Calibri" w:hAnsi="Calibri"/>
          <w:b w:val="0"/>
          <w:color w:val="3A4A28"/>
          <w:sz w:val="17"/>
        </w:rPr>
        <w:t>Clearwater Analytics ESG and Governance — Kaskela Law buyout investigation, ESG materiality assessment, no reported controversies — SEC 10-K FY2024, BriefGlance,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