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CWK</w:t>
      </w:r>
      <w:r>
        <w:rPr>
          <w:rFonts w:ascii="Calibri" w:hAnsi="Calibri"/>
          <w:b/>
          <w:color w:val="1A2010"/>
          <w:sz w:val="40"/>
        </w:rPr>
        <w:t xml:space="preserve">  Cushman &amp; Wakefield Limited</w:t>
      </w:r>
    </w:p>
    <w:p>
      <w:pPr>
        <w:spacing w:after="120"/>
      </w:pPr>
      <w:r>
        <w:rPr>
          <w:rFonts w:ascii="Calibri" w:hAnsi="Calibri"/>
          <w:b/>
          <w:color w:val="6E8450"/>
          <w:sz w:val="18"/>
        </w:rPr>
        <w:t>GROWTH SLEEVE · 2026-09-12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NYSE · United States</w:t>
      </w:r>
    </w:p>
    <w:p>
      <w:pPr>
        <w:spacing w:after="80"/>
      </w:pPr>
      <w:r>
        <w:rPr>
          <w:rFonts w:ascii="Calibri" w:hAnsi="Calibri"/>
          <w:b w:val="0"/>
          <w:color w:val="3A4A28"/>
          <w:sz w:val="20"/>
        </w:rPr>
        <w:t>Cushman &amp; Wakefield is a leading global commercial real estate services firm for property owners and occupiers, operating in nearly 400 offices across 60 countries. Q2 2026 revenue of $2.8B (+11% YoY) with leasing revenue surging 27%, driven by office and industrial demand including data centers. H1 2026 revenue of $5.3B (+11%). CEO Michelle MacKay's AI+ strategy and leadership 'reset' (70% senior team turnover) continue to reshape the firm. FY2026 guidance raised: revenue mid-to-high end of 6-8% growth, adjusted EPS growth 18-23% (up from 15-20%). Market cap approximately $3.3B.</w:t>
      </w:r>
    </w:p>
    <w:p>
      <w:r>
        <w:rPr>
          <w:rFonts w:ascii="Calibri" w:hAnsi="Calibri"/>
          <w:b/>
          <w:color w:val="6E8450"/>
          <w:sz w:val="18"/>
        </w:rPr>
        <w:t>53,000 Employees · https://www.cushmanwakefield.com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Michelle MacKay has driven a company-wide 'reset,' replacing or internally promoting roughly 70% of the senior leadership team over four years while launching the AI+ enterprise strategy, a significant cultural transformation [2]. Q2 2026 delivered 11% revenue growth with leasing surging 27%, driven by AI-driven office and data center demand, though the core brokerage/services business model remains intact [1]. AI Deployment (2/2): CWK is an industry leader in CRE AI adoption — the firm shipped the industry-first AI Impact Barometer tool tracking AI's effect on real estate demand, deployed Jasper AI writing assistant across marketing and research teams, and management explicitly attributed record revenue in part to AI-driven leasing demand [4][5]. The firm has been 'embedding technology and building proprietary data sets across core services' for nearly a decade. Market Share (1/2): Q2 2026 revenue grew 11% YoY with 27% leasing growth, improved momentum that more closely tracks JLL (+11% in Q1) but still trails CBRE's pace [1]. CWK is a top-3 global CRE services firm but not the category leader. Product Pipeline (1/2): The AI+ roadmap, AI Impact Barometer, and Jasper deployment are named initiatives with a general direction (embedding AI across the transaction lifecycle), though no specific dated revenue targets were disclosed [4][5]. R&amp;D Intensity (0/1): Not a traditionally R&amp;D-intensive services business; no R&amp;D-as-%-of-revenue data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MacKay's articulated vision — building 'a different kind of engine, a different kind of company, and a different kind of culture that's far more tapped into where the world is going' and fostering 'a culture of change not constrained by traditional operating models' — is specific and intentional but framed around competitive positioning and internal transformation rather than a societal purpose beyond the business [2]. Community Impact (0/2): No specific, dollar-quantified community or charitable program was identified beyond a general corporate ESG page with commitments to 'driving net zero, accelerating progress, and creating positive places' [7]. Employee Retention (0/2): Glassdoor rates CWK 3.6/5 with recurring reviews citing 'extremely high turnover and low morale,' low pay, and job-security concerns — directly correlated with the 70% leadership overhaul that, while strategically intentional, has created organizational anxiety [6]. Insider Buying (0/2): No specific insider buying transaction data was found for CWK.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D/E of ~160% remains well above the 70% target, reflecting elevated leverage that management is actively reducing — $300M debt prepaid in 2025 and $100M partial note redemption in May 2026, targeting 2.0x net leverage by 2028 [3]. ROE of 3.95% and profit margin of 0.70% are both far below targets, reflecting thin CRE services-industry margins and the company's ongoing transformation costs [3]. Revenue grew 11% YoY in H1 2026, above the 10% target, driven by 27% leasing growth and 8% services growth, with FY2026 guidance raised to mid-to-high end of 6-8% [1]. 5-year revenue CAGR of ~5.7% ($7.8B FY2020 to ~$10.3B FY2025) is below target. Forward P/E of ~9.2x is well below the 20x target, and forward PEG of ~0.45 (9.2 / 20.5% midpoint EPS growth guidance) is deeply below the 1.0 target, reflecting substantial value relative to earnings growth potential [3]. The key Infrastructure strength is the combination of low valuation and accelerating growth; the key weakness is leverage and thin profitability. Liquidity not a constraint: ~1.7M avg daily volume × $13.66 ≈ $23M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Cushman &amp; Wakefield under CEO Michelle MacKay shows real, costly courage — a 70% leadership overhaul, disciplined deleveraging, and the industry's most aggressive AI adoption strategy — in service of a genuinely differentiated 'reset' narrative. But the leadership churn correlates with Glassdoor complaints of high turnover and low morale, the underlying purpose is articulated in competitive/operational terms rather than a resilient societal cause, and the question of whether MacKay's transformation can build lasting organizational trust remains open.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MacKay's vision of building 'a different kind of engine... a culture of change not constrained by traditional operating models' and her decade-long focus on embedding technology represent a genuinely distinctive strategic narrative that has shaped leadership changes, the AI+ rollout, and the firm's competitive positioning [2][4]. At roughly three years into her tenure, the results are materializing (11% revenue growth, 27% leasing surge) but the vision has not yet been tested through a full market cycle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explicitly cite 'extremely high turnover and low morale,' low pay complaints, and job-security concerns. The 70% senior leadership churn, even if strategically intentional, has created organizational instability that does not describe a high-trust, psychologically safe environment [6]. The gap between MacKay's transformative vision and ground-level employee experience is the most significant tension in CWK's infinite-game profile.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MacKay's rhetoric implicitly contrasts CWK against slower-moving legacy competitors but does not explicitly acknowledge specific rival strengths (CBRE, JLL, Newmark) as a source of self-improvement. The competitive framing is about building 'a different kind of company' — positioning against the industry rather than learning from specific competitors'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AI+ strategy represents a real attempt to reposition the firm for an AI-driven CRE market — CWK is the industry's most aggressive AI adopter with proprietary tools and an AI Impact Barometer that no competitor has replicated [4]. But the core brokerage/services business model is being augmented rather than replaced, falling short of a transformative reinvention where the company abandoned a profitable legacy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MacKay drove a 70% turnover of the senior leadership team over four years — a disruptive, high-conviction transformation — while simultaneously prioritizing balance-sheet health over short-term EPS, prepaying $300M of debt in 2025 and redeeming $100M of 2028 notes in May 2026 toward a 2.0x leverage target by 2028 [2][3]. Raising the EPS growth guidance to 18-23% while continuing this costly restructuring demonstrates that the investment is translating into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Cushman &amp; Wakefield delivered accelerating growth in Q2 2026 with revenue of $2.8B (+11% YoY), leasing surging 27% driven by AI-related office and data center demand, and raised FY2026 guidance to 18-23% adjusted EPS growth (from 15-20%) with revenue at the mid-to-high end of 6-8% [1]. At ~9.2x forward earnings with a forward PEG of ~0.45, CWK trades at a substantial discount to its growth rate — the cheapest valuation among major CRE services firms — reflecting market skepticism that MacKay's transformation thesis is durable [3]. The AI+ strategy positions CWK as the industry's most aggressive technology adopter, with the proprietary AI Impact Barometer and Jasper AI tools creating differentiation against competitors still early in their AI journeys [4][5]. Continued deleveraging toward a 2.0x target by 2028 ($300M prepaid in 2025, $100M redeemed in May 2026) should unlock multiple re-rating as balance-sheet risk diminishes [3].</w:t>
      </w:r>
    </w:p>
    <w:p>
      <w:pPr>
        <w:spacing w:after="120"/>
      </w:pPr>
      <w:r>
        <w:rPr>
          <w:rFonts w:ascii="Calibri" w:hAnsi="Calibri"/>
          <w:b w:val="0"/>
          <w:color w:val="3A4A28"/>
          <w:sz w:val="20"/>
        </w:rPr>
        <w:t>The bear case centers on structural AI disruption risk and weak financial quality metrics. The February 2026 'AI scare trade' (14% single-day decline) reflects analyst-acknowledged concerns that AI could compress the labor-intensive brokerage fee model that generates CWK's thin margins — profit margin of 0.70% and ROE of 3.95% leave virtually no room for fee compression [3][5]. D/E of ~160% remains well above the 70% target despite paydown progress, and the GAAP trailing PE of 43x (despite 9.2x forward) reflects lumpy GAAP earnings. CWK's 11% revenue growth, while improved, still trails CBRE and Newmark in relative market share momentum. Glassdoor reviews citing 'extremely high turnover and low morale' raise questions about whether MacKay's 70% leadership overhaul is building a sustainable culture or creating churn fatigue — the tension between strategic transformation and organizational trust is the company's most critical risk [6]. The Inspire Impact Score of -49 (MISALIGNED) limits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AI-driven leasing demand (27% Q2 growth) as data center buildout and tech office expansion accelerate, with CWK uniquely positioned through its AI Impact Barometer to capture and quantify this demand [1][4]</w:t>
      </w:r>
    </w:p>
    <w:p>
      <w:pPr>
        <w:spacing w:before="40" w:after="40"/>
        <w:ind w:left="283"/>
      </w:pPr>
      <w:r>
        <w:rPr>
          <w:rFonts w:ascii="Calibri" w:hAnsi="Calibri"/>
          <w:b/>
          <w:color w:val="4A6B25"/>
          <w:sz w:val="20"/>
        </w:rPr>
        <w:t xml:space="preserve">2. </w:t>
      </w:r>
      <w:r>
        <w:rPr>
          <w:rFonts w:ascii="Calibri" w:hAnsi="Calibri"/>
          <w:b w:val="0"/>
          <w:color w:val="3A4A28"/>
          <w:sz w:val="20"/>
        </w:rPr>
        <w:t>Multiple re-rating from ~9.2x forward PE as deleveraging progresses toward the 2.0x net leverage target by 2028, with the 0.45 forward PEG suggesting the market significantly underprices CWK's growth trajectory [3]</w:t>
      </w:r>
    </w:p>
    <w:p>
      <w:pPr>
        <w:spacing w:before="40" w:after="40"/>
        <w:ind w:left="283"/>
      </w:pPr>
      <w:r>
        <w:rPr>
          <w:rFonts w:ascii="Calibri" w:hAnsi="Calibri"/>
          <w:b/>
          <w:color w:val="4A6B25"/>
          <w:sz w:val="20"/>
        </w:rPr>
        <w:t xml:space="preserve">3. </w:t>
      </w:r>
      <w:r>
        <w:rPr>
          <w:rFonts w:ascii="Calibri" w:hAnsi="Calibri"/>
          <w:b w:val="0"/>
          <w:color w:val="3A4A28"/>
          <w:sz w:val="20"/>
        </w:rPr>
        <w:t>Stabilization of organizational culture following the 70% leadership overhaul, translating MacKay's strategic 'reset' into improved Glassdoor sentiment and reduced attrition risk that currently depresses the Infinite Game score [2][6]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February 2026 'AI scare trade' (14% single-day decline) signals real, analyst-acknowledged risk that AI automation of research, comp-screening, and lease-abstraction could compress brokerage fee economics and further thin the 0.70% profit margin [5]</w:t>
      </w:r>
    </w:p>
    <w:p>
      <w:pPr>
        <w:spacing w:before="40" w:after="40"/>
        <w:ind w:left="283"/>
      </w:pPr>
      <w:r>
        <w:rPr>
          <w:rFonts w:ascii="Calibri" w:hAnsi="Calibri"/>
          <w:b/>
          <w:color w:val="4A6B25"/>
          <w:sz w:val="20"/>
        </w:rPr>
        <w:t xml:space="preserve">2. </w:t>
      </w:r>
      <w:r>
        <w:rPr>
          <w:rFonts w:ascii="Calibri" w:hAnsi="Calibri"/>
          <w:b w:val="0"/>
          <w:color w:val="3A4A28"/>
          <w:sz w:val="20"/>
        </w:rPr>
        <w:t>D/E of ~160%, ROE of 3.95%, and profit margin of 0.70% all sit well outside Infrastructure targets — CWK has virtually no margin buffer if the AI+ growth thesis disappoints or if CRE transaction volumes decline cyclically [3]</w:t>
      </w:r>
    </w:p>
    <w:p>
      <w:pPr>
        <w:spacing w:before="40" w:after="40"/>
        <w:ind w:left="283"/>
      </w:pPr>
      <w:r>
        <w:rPr>
          <w:rFonts w:ascii="Calibri" w:hAnsi="Calibri"/>
          <w:b/>
          <w:color w:val="4A6B25"/>
          <w:sz w:val="20"/>
        </w:rPr>
        <w:t xml:space="preserve">3. </w:t>
      </w:r>
      <w:r>
        <w:rPr>
          <w:rFonts w:ascii="Calibri" w:hAnsi="Calibri"/>
          <w:b w:val="0"/>
          <w:color w:val="3A4A28"/>
          <w:sz w:val="20"/>
        </w:rPr>
        <w:t>Glassdoor reviews citing 'extremely high turnover and low morale' create a fundamental tension between MacKay's top-down transformation and ground-level organizational health that could limit execution capacity if key talent continues to exit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CWK remains at the center of the AI disruption debate for real estate services. The February 2026 'AI scare trade' (14% single-day decline) reflected analyst-acknowledged fears that AI could automate the labor-intensive research, comp-screening, lease-abstraction, and marketing work underpinning brokerage economics [5]. CWK's own AI Impact Barometer research acknowledges AI will reshape real estate demand by 330 million SF over the next decade, and the firm's leadership has stated they have been 'acutely focused on both the opportunities and disruption risk associated with technology' [4]. Complex, high-value dealmaking still requires human negotiation and market judgment, providing a near-term moat, but the structural risk to fee compression from AI automation is real and growing. AI Opportunity (1/1): Management explicitly attributed record Q2 2026 revenue in part to AI-driven leasing demand (data center and tech office expansion). The firm ships proprietary AI tools (AI Impact Barometer, Jasper AI assistant) and projects AI to add 330M SF of CRE demand, generating quantifiable revenue from AI-related market activity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Cushman &amp; Wakefield Q2 2026 Earnings Release — Revenue $2.8B (+11%), Leasing +27%, Raised FY2026 EPS Growth Guidance to 18-23%, Investing.com /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Fortune, ainvest.com, MitchelLake Intelligence — CEO Michelle MacKay Leadership 'Reset,' 70% Senior Team Turnover, Culture of Change Vision, 2025-2026</w:t>
      </w:r>
    </w:p>
    <w:p>
      <w:pPr>
        <w:spacing w:before="20" w:after="20"/>
        <w:ind w:left="170"/>
      </w:pPr>
      <w:r>
        <w:rPr>
          <w:rFonts w:ascii="Calibri" w:hAnsi="Calibri"/>
          <w:b/>
          <w:color w:val="4A6B25"/>
          <w:sz w:val="15"/>
        </w:rPr>
        <w:t xml:space="preserve">3. </w:t>
      </w:r>
      <w:r>
        <w:rPr>
          <w:rFonts w:ascii="Calibri" w:hAnsi="Calibri"/>
          <w:b w:val="0"/>
          <w:color w:val="3A4A28"/>
          <w:sz w:val="17"/>
        </w:rPr>
        <w:t>Cushman &amp; Wakefield Debt Reduction and Leverage Targets — $300M Prepaid 2025, $100M Note Redemption May 2026, 2.0x Target by 2028, MacroTrends / GuruFocus,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CIO Dive, CoStar — Cushman &amp; Wakefield AI+ Strategy, AI Impact Barometer (Industry-First), Jasper AI Rollout, Proprietary Data Sets, 2026</w:t>
      </w:r>
    </w:p>
    <w:p>
      <w:pPr>
        <w:spacing w:before="20" w:after="20"/>
        <w:ind w:left="170"/>
      </w:pPr>
      <w:r>
        <w:rPr>
          <w:rFonts w:ascii="Calibri" w:hAnsi="Calibri"/>
          <w:b/>
          <w:color w:val="4A6B25"/>
          <w:sz w:val="15"/>
        </w:rPr>
        <w:t xml:space="preserve">5. </w:t>
      </w:r>
      <w:r>
        <w:rPr>
          <w:rFonts w:ascii="Calibri" w:hAnsi="Calibri"/>
          <w:b w:val="0"/>
          <w:color w:val="3A4A28"/>
          <w:sz w:val="17"/>
        </w:rPr>
        <w:t>Bisnow, Bloomberg, AllWork — 'AI Scare Trade' CRE Services Selloff and CWK AI Disruption Analysis, February-March 2026</w:t>
      </w:r>
    </w:p>
    <w:p>
      <w:pPr>
        <w:spacing w:before="20" w:after="20"/>
        <w:ind w:left="170"/>
      </w:pPr>
      <w:r>
        <w:rPr>
          <w:rFonts w:ascii="Calibri" w:hAnsi="Calibri"/>
          <w:b/>
          <w:color w:val="4A6B25"/>
          <w:sz w:val="15"/>
        </w:rPr>
        <w:t xml:space="preserve">6. </w:t>
      </w:r>
      <w:r>
        <w:rPr>
          <w:rFonts w:ascii="Calibri" w:hAnsi="Calibri"/>
          <w:b w:val="0"/>
          <w:color w:val="3A4A28"/>
          <w:sz w:val="17"/>
        </w:rPr>
        <w:t>Glassdoor — Cushman &amp; Wakefield Company Reviews 3.6/5, High Turnover and Morale Concerns,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Cushman &amp; Wakefield ESG Reports and Corporate Sustainability — Net Zero Commitments, cushmanwakefield.com,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