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CXM</w:t>
      </w:r>
      <w:r>
        <w:rPr>
          <w:rFonts w:ascii="Calibri" w:hAnsi="Calibri"/>
          <w:b/>
          <w:color w:val="1A2010"/>
          <w:sz w:val="40"/>
        </w:rPr>
        <w:t xml:space="preserve">  Sprinklr, Inc.</w:t>
      </w:r>
    </w:p>
    <w:p>
      <w:pPr>
        <w:spacing w:after="120"/>
      </w:pPr>
      <w:r>
        <w:rPr>
          <w:rFonts w:ascii="Calibri" w:hAnsi="Calibri"/>
          <w:b/>
          <w:color w:val="6E8450"/>
          <w:sz w:val="18"/>
        </w:rPr>
        <w:t>GROWTH SLEEVE · 2026-09-06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Sprinklr provides a unified AI-powered customer experience management (CXM) platform enabling enterprises to manage customer interactions across 30+ digital channels including social media, messaging, email, and voice. Products include AI agents resolving up to 40% of inquiries, Sprinklr Digital Twin (AI brand representation), contact center intelligence, and generative AI-native service SKUs. Q2 FY2027 total revenue reached $213.7M (up 1% YoY) with subscription revenue growth of 3%, non-GAAP operating margin of 15%, and AI-native SKU ARR growing 40% YoY. Founded in 2009 by Ragy Thomas (Chairman), with CEO Rory Read (ex-Dell) appointed November 2024.</w:t>
      </w:r>
    </w:p>
    <w:p>
      <w:r>
        <w:rPr>
          <w:rFonts w:ascii="Calibri" w:hAnsi="Calibri"/>
          <w:b/>
          <w:color w:val="6E8450"/>
          <w:sz w:val="18"/>
        </w:rPr>
        <w:t>4,000 Employees · https://www.sprinklr.com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Sprinklr evolved from social media management to unified CXM platform integrating 30+ channels, then pivoted to AI-native architecture — AI-native SKU ARR grew 40% YoY in Q2 FY2027, and NAR (net new ARR) growth exceeded 50% YoY with 30% more completed transactions [1][2]. The pivot to AI agents and Digital Twin represents genuine business model evolution even as total revenue grew only 1%. AI Deployment (2/2): AI products are shipping with measurable results — AI agents resolve up to 40% of customer inquiries, Sprinklr Digital Twin enables AI brand representation, and AI-native SKU ARR grew 40% YoY [1][2]. Four $1M+ ARR deals closed in Q2 FY2027 demonstrate enterprise willingness to pay for AI capabilities. Market Share (1/2): Recognized player in unified CXM but faces intensifying competition from Salesforce Agentforce, Adobe, Microsoft Copilot, and Qualtrics; total revenue growth of only 1% suggests share pressure, though raised subscription guidance to $782.5-$784.5M indicates stability in the core [1]. Product Pipeline (1/2): AI agents, Digital Twin, and generative AI service SKUs in active development and deployment; raised subscription revenue guidance signals product-market fit for AI features, though specific next-gen product timelines remain vague [1][2]. R&amp;D Intensity (1/1): R&amp;D spend estimated at 25-30% of revenue places Sprinklr in the top quartile for enterprise software; investment in AI capabilities despite flat revenue shows commitment to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Sprinklr's mission centers on unifying customer experience management — enabling organizations to manage every customer interaction from a single platform [2]. Clear and operational but interchangeable with most CXM competitors; it describes a product architecture, not a transformative purpose beyond business utility. Community Impact (0/2): No evidence of distinctive charitable programs, community investment, or foundation activity found. Employee Retention (0/2): Glassdoor rating 3.4/5 with only 52% recommending; multiple reviews cite 'toxic work culture,' 'poor work-life balance,' and 'top management messed up' [3]. CEO transition from founder Ragy Thomas to Rory Read caused organizational instability with reports of 'a lot of leadership exits.' Insider Buying (0/2): No evidence of net open-market buying by executives. While the company authorized a $200M buyback ($125M accelerated), corporate repurchases are not personal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reflecting revenue growth deceleration from 7.6% (FY2026) to 1% (Q2 FY2027 total revenue). Balance sheet remains exceptionally clean: D/E of 9% with $474M cash against $48M debt, producing net cash of $426M [4]. Revenue growth YoY of 1% (total Q2 FY2027) scores 0.70, down significantly from the prior 7.6% which scored 0.92 [1]. 5-year revenue CAGR of ~15% (from ~$500M FY2022 to $857M FY2026) scores at target with 2x weight [4]. At $6.24 stock price, estimated forward GAAP P/E of ~33x scores 0.68. Trailing GAAP profit margin of 2.7% scores 0.14. ROE of ~7% scores 0.47 at 2x weight. Estimated forward PEG of ~2.2 scores 0.40 at 2x weight [4]. Weighted calculation: (D/E: 1.0 + ROE: 0.93 + RevYoY: 0.70 + Rev5yr: 2.0 + FwdPE: 0.68 + Margin: 0.14 + PEG: 0.80) = 6.24/10 = 6. Liquidity floor easily cleared at $6.24 x 3M avg volume = $18.7M.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Sprinklr operates as a primarily finite player focused on platform consolidation and quarterly execution rather than advancing a transformative vision. The leadership transition from founder-CEO Ragy Thomas to operational executive Rory Read prioritized near-term stabilization over visionary leadership. Q2 FY2027 showed some positive signals (NAR growth 50%, AI ARR 40% growth) but total revenue growth of only 1% and ongoing cultural issues suggest the company is optimizing for survival rather than pursuing an infinite cause. The Glassdoor 3.4/5 rating and 'toxic culture' feedback undermine any infinite-game claims.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Sprinklr's vision is unifying the front office for better customer experience — a platform architecture thesis rather than a transformative cause that invites sacrifice [2]. The company exists to consolidate fragmented CXM tools, not to advance a vision of a better future. Founder Ragy Thomas' original aspiration had some idealism but was not institutionalized enough to survive his CEO departure — the purpose didn't outlive the leader, a classic finite signal.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environment evidenced by Glassdoor 3.4/5 with only 52% recommending, and multiple reviews explicitly citing 'toxic work culture,' 'poor work-life balance,' and 'top management messed up' [3]. Reports of 'a lot of leadership exits' under CEO Rory Read, plus strategy described as 'pivoting back and forth,' indicate organizational instability. The CEO transition was reactive rather than planned succession.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Sprinklr acknowledges competing against Salesforce, Adobe, Microsoft, and Qualtrics and positions itself through differentiation (unified platform, AI agents) rather than competitive destruction [1][2]. Management commentary references competitive dynamics as motivation for AI investment rather than framing rivals as enemies to defeat. The company's language focuses on platform value proposition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Sprinklr has made meaningful strategic pivots — from social media management to unified CXM platform, then to AI-native architecture with digital twins, autonomous agents, and 40% YoY growth in AI-native SKU ARR [1][2]. The pivot to AI is genuine and evidenced by product metrics. However, total revenue growth of only 1% suggests the transformation hasn't yet translated into business model reinvention — the company is evolving features, not fundamentally redefining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heavily in AI agents and shipping AI capabilities (40% AI ARR growth) while accepting near-flat total revenue growth requires some conviction [1]. The $200M buyback authorization ($125M accelerated) at depressed prices demonstrates capital allocation conviction. However, the CEO transition was forced by performance issues rather than chosen, and the 'back to core' strategy reads as defensive retrenchment.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Sprinklr's Q2 FY2027 results show AI product traction beneath the flat headline: AI-native SKU ARR grew 40% YoY, NAR (net new ARR) surged 50%, completed transactions increased 30%, and four $1M+ ARR deals closed [1]. The company raised subscription revenue guidance to $782.5-$784.5M, suggesting the AI pivot is gaining commercial traction even as total revenue grew only 1% [1]. The balance sheet is a fortress — $474M cash, $48M debt, net cash of $426M — against a market cap of ~$1.4B, meaning ~30% of market cap is backed by cash [4]. Non-GAAP operating margin of 15% and $79M H1 FCF demonstrate operational discipline. The stock at $6.24 may offer asymmetric upside if AI products accelerate total revenue growth back to the mid-single digits.</w:t>
      </w:r>
    </w:p>
    <w:p>
      <w:pPr>
        <w:spacing w:after="120"/>
      </w:pPr>
      <w:r>
        <w:rPr>
          <w:rFonts w:ascii="Calibri" w:hAnsi="Calibri"/>
          <w:b w:val="0"/>
          <w:color w:val="3A4A28"/>
          <w:sz w:val="20"/>
        </w:rPr>
        <w:t>The bear case remains substantial. Total revenue growth decelerated to 1% YoY in Q2 FY2027, reflecting competitive pressure from Salesforce Agentforce, Microsoft Copilot, and AI-native startups directly targeting Sprinklr's CXM workflow [1]. GAAP profit margin of just 2.7% and ROE of ~7% reveal that the business generates inadequate returns on equity despite $857M revenue — the company risks value-trap status if AI product growth doesn't translate into total revenue acceleration [4]. Higher data and hosting costs from AI capabilities are pressuring margins and offsetting pricing gains. Cultural instability persists — Glassdoor 3.4/5 with 'toxic work culture' commentary, 'leadership exits,' and strategy described as 'pivoting back and forth' under CEO Read [3]. The 17-year-old platform carries technical debt that may limit AI integration speed versus purpose-built competitors, and the $1.4B market cap leaves it vulnerable to M&amp;A at a discount that may not reward current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AI-native SKU ARR growth of 40% YoY and NAR growth of 50% could translate into total revenue reacceleration in H2 FY2027 if enterprise adoption of AI agents and Digital Twin deepens beyond the four $1M+ deals closed in Q2 [1]</w:t>
      </w:r>
    </w:p>
    <w:p>
      <w:pPr>
        <w:spacing w:before="40" w:after="40"/>
        <w:ind w:left="283"/>
      </w:pPr>
      <w:r>
        <w:rPr>
          <w:rFonts w:ascii="Calibri" w:hAnsi="Calibri"/>
          <w:b/>
          <w:color w:val="4A6B25"/>
          <w:sz w:val="20"/>
        </w:rPr>
        <w:t xml:space="preserve">2. </w:t>
      </w:r>
      <w:r>
        <w:rPr>
          <w:rFonts w:ascii="Calibri" w:hAnsi="Calibri"/>
          <w:b w:val="0"/>
          <w:color w:val="3A4A28"/>
          <w:sz w:val="20"/>
        </w:rPr>
        <w:t>Raised subscription guidance to $782.5-$784.5M signals management confidence in the AI product pivot; any upside revision to total revenue guidance would catalyze a re-rating [1]</w:t>
      </w:r>
    </w:p>
    <w:p>
      <w:pPr>
        <w:spacing w:before="40" w:after="40"/>
        <w:ind w:left="283"/>
      </w:pPr>
      <w:r>
        <w:rPr>
          <w:rFonts w:ascii="Calibri" w:hAnsi="Calibri"/>
          <w:b/>
          <w:color w:val="4A6B25"/>
          <w:sz w:val="20"/>
        </w:rPr>
        <w:t xml:space="preserve">3. </w:t>
      </w:r>
      <w:r>
        <w:rPr>
          <w:rFonts w:ascii="Calibri" w:hAnsi="Calibri"/>
          <w:b w:val="0"/>
          <w:color w:val="3A4A28"/>
          <w:sz w:val="20"/>
        </w:rPr>
        <w:t>Net cash position of $426M (~30% of market cap) plus $200M buyback authorization provides downside protection and optionality for accretive M&amp;A or capital return at depressed valuations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Salesforce Agentforce, Microsoft Copilot, and AI-native startups directly target Sprinklr's value proposition with larger installed bases — total revenue growth of only 1% suggests competitive moat is narrowing despite strong AI product metrics [1]</w:t>
      </w:r>
    </w:p>
    <w:p>
      <w:pPr>
        <w:spacing w:before="40" w:after="40"/>
        <w:ind w:left="283"/>
      </w:pPr>
      <w:r>
        <w:rPr>
          <w:rFonts w:ascii="Calibri" w:hAnsi="Calibri"/>
          <w:b/>
          <w:color w:val="4A6B25"/>
          <w:sz w:val="20"/>
        </w:rPr>
        <w:t xml:space="preserve">2. </w:t>
      </w:r>
      <w:r>
        <w:rPr>
          <w:rFonts w:ascii="Calibri" w:hAnsi="Calibri"/>
          <w:b w:val="0"/>
          <w:color w:val="3A4A28"/>
          <w:sz w:val="20"/>
        </w:rPr>
        <w:t>Cultural instability and leadership exits under CEO Read threaten execution of the AI-driven turnaround in a market where engineering talent retention is critical for product differentiation [3]</w:t>
      </w:r>
    </w:p>
    <w:p>
      <w:pPr>
        <w:spacing w:before="40" w:after="40"/>
        <w:ind w:left="283"/>
      </w:pPr>
      <w:r>
        <w:rPr>
          <w:rFonts w:ascii="Calibri" w:hAnsi="Calibri"/>
          <w:b/>
          <w:color w:val="4A6B25"/>
          <w:sz w:val="20"/>
        </w:rPr>
        <w:t xml:space="preserve">3. </w:t>
      </w:r>
      <w:r>
        <w:rPr>
          <w:rFonts w:ascii="Calibri" w:hAnsi="Calibri"/>
          <w:b w:val="0"/>
          <w:color w:val="3A4A28"/>
          <w:sz w:val="20"/>
        </w:rPr>
        <w:t>Higher data and hosting costs from AI capabilities are pressuring margins — non-GAAP operating margin of 15% may not improve if AI costs scale faster than AI revenue, risking a permanent profitability ceiling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The CXM platform market is EXPOSED to meaningful AI disruption — AI chatbots, autonomous agents, and LLM-powered tools from Salesforce Agentforce, Microsoft Copilot, and AI-native startups can increasingly handle customer interactions without unified platform orchestration [1][2]. Sprinklr's core value proposition of aggregating 30+ channels faces substitution risk as AI agents independently manage cross-channel conversations. Total revenue growth of only 1% YoY despite heavy AI investment suggests competitive pressure is already manifesting. The company's data moat from enterprise customer interaction data and existing relationships provide some protection. AI Opportunity (1/1): AI is explicitly the product — AI agents resolving 40% of inquiries, AI-native SKU ARR growing 40% YoY, Sprinklr Digital Twin shipping to enterprise customers, generating quantifiable AI-powered subscription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Sprinklr Q2 FY2027 Earnings Release — $213.7M revenue (+1% YoY), Subscription +3%, Non-GAAP op margin 15%, NAR growth 50% YoY, AI-native SKU ARR +40%, 4 deals $1M+ ARR, Subscription guidance raised to $782.5-$784.5M, $13.1M FCF, August 2026</w:t>
      </w:r>
    </w:p>
    <w:p>
      <w:pPr>
        <w:spacing w:before="20" w:after="20"/>
        <w:ind w:left="170"/>
      </w:pPr>
      <w:r>
        <w:rPr>
          <w:rFonts w:ascii="Calibri" w:hAnsi="Calibri"/>
          <w:b/>
          <w:color w:val="4A6B25"/>
          <w:sz w:val="15"/>
        </w:rPr>
        <w:t xml:space="preserve">2. </w:t>
      </w:r>
      <w:r>
        <w:rPr>
          <w:rFonts w:ascii="Calibri" w:hAnsi="Calibri"/>
          <w:b w:val="0"/>
          <w:color w:val="3A4A28"/>
          <w:sz w:val="17"/>
        </w:rPr>
        <w:t>Sprinklr AI Product Strategy — AI agents (40% inquiry resolution), Digital Twin, Gen AI SKUs, SAMY partnership — CMSWire, CallCentreHelper, GuruFocus, 2025-2026</w:t>
      </w:r>
    </w:p>
    <w:p>
      <w:pPr>
        <w:spacing w:before="20" w:after="20"/>
        <w:ind w:left="170"/>
      </w:pPr>
      <w:r>
        <w:rPr>
          <w:rFonts w:ascii="Calibri" w:hAnsi="Calibri"/>
          <w:b/>
          <w:color w:val="4A6B25"/>
          <w:sz w:val="15"/>
        </w:rPr>
        <w:t xml:space="preserve">3. </w:t>
      </w:r>
      <w:r>
        <w:rPr>
          <w:rFonts w:ascii="Calibri" w:hAnsi="Calibri"/>
          <w:b w:val="0"/>
          <w:color w:val="3A4A28"/>
          <w:sz w:val="17"/>
        </w:rPr>
        <w:t>Sprinklr Employee Reviews and Culture Assessment — Glassdoor 3.4/5, 52% recommend, 'toxic culture', leadership exits —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CXM price $6.24, P/E ~46, D/E 9%, ROE ~7%, Cash $474M, Avg Volume 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