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CXT</w:t>
      </w:r>
      <w:r>
        <w:rPr>
          <w:rFonts w:ascii="Calibri" w:hAnsi="Calibri"/>
          <w:b/>
          <w:color w:val="1A2010"/>
          <w:sz w:val="40"/>
        </w:rPr>
        <w:t xml:space="preserve">  Crane NXT, Co.</w:t>
      </w:r>
    </w:p>
    <w:p>
      <w:pPr>
        <w:spacing w:after="120"/>
      </w:pPr>
      <w:r>
        <w:rPr>
          <w:rFonts w:ascii="Calibri" w:hAnsi="Calibri"/>
          <w:b/>
          <w:color w:val="6E8450"/>
          <w:sz w:val="18"/>
        </w:rPr>
        <w:t>GROWTH SLEEVE · 2026-10-10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Technology · NYQ · United States</w:t>
      </w:r>
    </w:p>
    <w:p>
      <w:pPr>
        <w:spacing w:after="80"/>
      </w:pPr>
      <w:r>
        <w:rPr>
          <w:rFonts w:ascii="Calibri" w:hAnsi="Calibri"/>
          <w:b w:val="0"/>
          <w:color w:val="3A4A28"/>
          <w:sz w:val="20"/>
        </w:rPr>
        <w:t>Crane NXT is an industrial technology company providing solutions to secure, detect, and authenticate important assets. It operates through two segments: Crane Payment Innovations (electronic payment equipment, automation solutions, and processing systems for vending, gaming, and retail) and Security and Authentication Technologies (banknote security features, brand protection, and digital content authentication). The company completed the Antares Vision acquisition to expand into digital traceability. TTM revenue of approximately $1.80B. Spun off from Crane Holdings in April 2023, headquartered in Waltham, Massachusetts.</w:t>
      </w:r>
    </w:p>
    <w:p>
      <w:r>
        <w:rPr>
          <w:rFonts w:ascii="Calibri" w:hAnsi="Calibri"/>
          <w:b/>
          <w:color w:val="6E8450"/>
          <w:sz w:val="18"/>
        </w:rPr>
        <w:t>4,800 Employees · https://www.cranenxt.com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Antares Vision acquisition expanded Crane NXT into digital traceability and detection technologies, creating a new Detection and Traceability Technologies segment that opened a significant new revenue stream in pharmaceutical serialization, food safety tracking, and consumer goods authentication [1][2]. The 2023 spin-off from Crane Holdings itself was a strategic restructuring that focused the company exclusively on technology-driven solutions. AI Deployment (0/2): No AI-powered products or quantified AI-driven efficiency gains have been disclosed; the company's technology solutions are based on proprietary physical and digital authentication methods rather than AI [3]. Market Share (1/2): Crane Payment Innovations is a meaningful player in the payment acceptance equipment market for vending, gaming, and retail, though specific market share data was not found. The SAT segment holds proprietary positions in banknote security features used by central banks globally [1]. Product Pipeline (0/2): Integration of Antares Vision capabilities is ongoing but no specific next-generation products with named launch dates or revenue projections have been announced beyond general segment expansion [1]. R&amp;D Intensity (0/1): The 42.1% gross margin suggests high value-add technology content, and the appointment of former Bell Labs president Jeong H. Kim to the board signals technology investment focus, but no specific R&amp;D spending data as a percentage of revenue has been disclosed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Crane NXT's purpose — providing 'technology solutions to secure, detect, and authenticate customers' important assets' — is clear and functional but not distinctive or purpose-driven [3]. The mission identifies what the company does (security and authentication technology) and for whom (central banks, brands, gaming operators) but does not articulate a deeper vision of a better future or connect the company's work to a larger societal purpose. Community Impact (0/2): The company published an inaugural ESG report in 2024 and a 2025 Impact Report, but no specific charitable programs, community investment initiatives, or measurable social impact with dollar amounts have been cited [5]. Employee Retention (0/2): No voluntary turnover rates, average employee tenure data, or specific retention metrics are publicly available for Crane NXT's 4,800 employees. Insider Buying (0/2): No evidence of meaningful net insider buying by CEO Aaron Saak or other executives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1.43%, below 2% threshold). Forward P/E of 10.7x is exceptionally attractive versus the 20x target (score 1.0), reflecting expected EPS of $4.73 against the raised 2026 guidance range of $4.22-$4.42 adjusted EPS [1][4]. Revenue growth of 22.0% YoY exceeds the 10% target (score 1.0), though the majority is acquisition-driven with organic growth decelerating from 6% in Q1 to 3% in Q2 [1][2]. The 3-year revenue CAGR of 7.3% falls short of the 10% target (score 0.82, 2x weight), reflecting modest pre-acquisition organic growth. ROE of 11.5% is below the 15% target (score 0.77, 2x weight), partially depressed by acquisition-related amortization. D/E of 114.1% is elevated versus the 70% target (score 0.81), reflecting $1.47B debt from the Antares Vision acquisition against $231M cash. Profit margin of 7.8% is below the 20% target (score 0.39), impacted by acquisition integration costs — Q1 operating margin fell to 5.7% from 11.3% [2]. PEG ratio unavailable, excluded. Daily dollar volume of $27.6M provides ample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Crane NXT operates with a mixed-to-finite mindset. The company's 200+ year heritage as part of the Crane family of companies provides historical continuity, and the strategic acquisitions (Antares Vision) demonstrate forward-looking investment. However, the company lacks a transcendent Just Cause — its purpose is functional (secure and authenticate assets) rather than aspirational. The 2023 spin-off was a financial restructuring, and the competitive strategy focuses on market position rather than organizational purpose. Leadership stability under CEO Aaron Saak and deliberate board composition (adding Bell Labs' Jeong H. Kim) show strategic intentionality, but without a durable cause to guide long-term decisions.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Crane NXT's purpose — 'technology solutions to secure, detect, and authenticate important assets' — is functional and specific to the company's capabilities, but it describes what the company does rather than a future state worth sacrificing for [3]. The mission does not invite others to contribute to something bigger than the company or articulate why securing assets matters beyond commercial value. Leadership references innovation and growth in strategic terms but strategic decisions (the spin-off, Antares acquisition) serve market positioning rather than a transcendent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Crane NXT operates as a stable 4,800-person organization with consistent leadership under CEO Aaron Saak since the 2023 spin-off [3]. The appointment of new segment leader Jason Lund and board member Jeong H. Kim demonstrates organizational development and strategic talent acquisition. The company's heritage as part of the 200+ year Crane family suggests institutional stability. However, no specific voluntary turnover rates, employee satisfaction data, or evidence of exceptional trust or empowerment distinguishes the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Crane NXT's competitive positioning focuses on proprietary technology moats and market leadership rather than learning from competitors. The company's strategy is defensive — protecting physical authentication advantages against digital alternatives — rather than using competitive dynamics for self-improvement. No management commentary references competitors' strengths or acknowledges worthy rivals in either the payment innovations or security technology markets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2023 spin-off from Crane Holdings was a significant structural change that focused the company on its technology businesses. The subsequent Antares Vision acquisition expanded into digital traceability, a new domain adjacent to but distinct from physical authentication [1]. These changes represent meaningful business model evolution — from a diversified industrial conglomerate subsidiary to a focused technology company expanding into digital verification. The evolution is incremental rather than transformative, as the core identity (authentication and security)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Antares Vision acquisition was a meaningful bet that increased Crane NXT's revenue base by roughly 15-20% while adding $1.47B in debt, resulting in operating margin compression from 11.3% to 5.7% in Q1 2026 [2]. Management maintained the dividend while investing in this acquisition and raised full-year EPS guidance despite integration headwinds, showing conviction in the long-term value creation. However, the acquisition serves standard strategic objectives (diversification, scale) rather than a principled stance or Just Cause-driven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Crane NXT at $50.45 with a $2.9B market cap is a competitively moated industrial technology company trading at a remarkably low 10.7x forward earnings following the transformative Antares Vision acquisition. Q2 2026 sales of $493M grew 22% YoY with adjusted EBITDA of $115M (23% margin) and adjusted EPS of $1.10 (+13% YoY), and management raised full-year guidance to $4.22-$4.42 adjusted EPS [1]. The company's dual competitive moats — proprietary banknote security features embedded in currency worldwide and installed-base payment acceptance hardware across millions of endpoints — create recurring revenue streams with high switching costs. The Antares Vision integration adds pharmaceutical serialization and food safety traceability as secular growth vectors. Operating cash flow of $270.5M and free cash flow of $239.8M provide strong cash generation to deleverage the $1.47B acquisition debt [4].</w:t>
      </w:r>
    </w:p>
    <w:p>
      <w:pPr>
        <w:spacing w:after="120"/>
      </w:pPr>
      <w:r>
        <w:rPr>
          <w:rFonts w:ascii="Calibri" w:hAnsi="Calibri"/>
          <w:b w:val="0"/>
          <w:color w:val="3A4A28"/>
          <w:sz w:val="20"/>
        </w:rPr>
        <w:t>The bear case centers on organic growth deceleration and integration execution. Organic sales growth slowed from approximately 6% in Q1 to just 3% in Q2, suggesting the underlying business is losing momentum even as acquisition revenue flatters the top line [1][2]. Q1 operating margin fell sharply to 5.7% from 11.3% as Antares integration costs weigh on profitability, and free cash flow was negative $24.1M in Q1 before recovering. The SAT segment faces a structural headwind from the secular shift toward digital payments — as cash usage declines globally, demand for physical banknote security features may erode over time [3]. D/E of 114.1% and $1.47B debt create financial leverage risk if the acquisition underperforms. The company's 1.43% dividend yield is below the 2% threshold for income investors, and with limited analyst coverage, the stock may remain underappreciated. The PEG ratio is unavailable, making it difficult to assess whether the low P/E reflects genuine value or appropriately discounts structural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Antares Vision synergy realization and Detection &amp; Traceability Technologies segment margin expansion — as integration costs normalize, the combined platform's adjusted EBITDA margin should converge toward the company's 23% target, potentially unlocking significant earnings accretion [1]</w:t>
      </w:r>
    </w:p>
    <w:p>
      <w:pPr>
        <w:spacing w:before="40" w:after="40"/>
        <w:ind w:left="283"/>
      </w:pPr>
      <w:r>
        <w:rPr>
          <w:rFonts w:ascii="Calibri" w:hAnsi="Calibri"/>
          <w:b/>
          <w:color w:val="4A6B25"/>
          <w:sz w:val="20"/>
        </w:rPr>
        <w:t xml:space="preserve">2. </w:t>
      </w:r>
      <w:r>
        <w:rPr>
          <w:rFonts w:ascii="Calibri" w:hAnsi="Calibri"/>
          <w:b w:val="0"/>
          <w:color w:val="3A4A28"/>
          <w:sz w:val="20"/>
        </w:rPr>
        <w:t>Raised FY2026 adjusted EPS guidance to $4.22-$4.42 implies continued earnings momentum, with 15-17% total revenue growth providing the scale to deleverage $1.47B acquisition debt through $270M+ annual operating cash flow [1][4]</w:t>
      </w:r>
    </w:p>
    <w:p>
      <w:pPr>
        <w:spacing w:before="40" w:after="40"/>
        <w:ind w:left="283"/>
      </w:pPr>
      <w:r>
        <w:rPr>
          <w:rFonts w:ascii="Calibri" w:hAnsi="Calibri"/>
          <w:b/>
          <w:color w:val="4A6B25"/>
          <w:sz w:val="20"/>
        </w:rPr>
        <w:t xml:space="preserve">3. </w:t>
      </w:r>
      <w:r>
        <w:rPr>
          <w:rFonts w:ascii="Calibri" w:hAnsi="Calibri"/>
          <w:b w:val="0"/>
          <w:color w:val="3A4A28"/>
          <w:sz w:val="20"/>
        </w:rPr>
        <w:t>Board appointment of Jeong H. Kim (former Bell Labs president) signals strategic technology investment and potential expansion into adjacent digital authentication and security markets beyond physical currency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deceleration from 6% in Q1 to 3% in Q2 suggests underlying demand softening in core payment and security markets, with Q3 SAT sales expected flat to slightly down against a strong 2025 comparison [1]</w:t>
      </w:r>
    </w:p>
    <w:p>
      <w:pPr>
        <w:spacing w:before="40" w:after="40"/>
        <w:ind w:left="283"/>
      </w:pPr>
      <w:r>
        <w:rPr>
          <w:rFonts w:ascii="Calibri" w:hAnsi="Calibri"/>
          <w:b/>
          <w:color w:val="4A6B25"/>
          <w:sz w:val="20"/>
        </w:rPr>
        <w:t xml:space="preserve">2. </w:t>
      </w:r>
      <w:r>
        <w:rPr>
          <w:rFonts w:ascii="Calibri" w:hAnsi="Calibri"/>
          <w:b w:val="0"/>
          <w:color w:val="3A4A28"/>
          <w:sz w:val="20"/>
        </w:rPr>
        <w:t>Secular decline in physical cash usage globally threatens the long-term relevance of both banknote security features (SAT) and physical payment acceptance hardware (CPI), representing a structural headwind to the company's largest and most profitable business lines [3]</w:t>
      </w:r>
    </w:p>
    <w:p>
      <w:pPr>
        <w:spacing w:before="40" w:after="40"/>
        <w:ind w:left="283"/>
      </w:pPr>
      <w:r>
        <w:rPr>
          <w:rFonts w:ascii="Calibri" w:hAnsi="Calibri"/>
          <w:b/>
          <w:color w:val="4A6B25"/>
          <w:sz w:val="20"/>
        </w:rPr>
        <w:t xml:space="preserve">3. </w:t>
      </w:r>
      <w:r>
        <w:rPr>
          <w:rFonts w:ascii="Calibri" w:hAnsi="Calibri"/>
          <w:b w:val="0"/>
          <w:color w:val="3A4A28"/>
          <w:sz w:val="20"/>
        </w:rPr>
        <w:t>Integration execution risk from the Antares Vision acquisition with D/E at 114.1%, $1.47B debt, and Q1 operating margin compression to 5.7% from 11.3% — if synergies underperform or integration takes longer than expected, earnings and the balance sheet could come under pressure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Crane NXT's core businesses have meaningful defensive moats against AI disruption. The SAT segment's banknote security features involve proprietary physical materials and manufacturing processes embedded into currency by central banks — AI cannot replicate physical security threads, holographic features, or authentication substrates that protect the world's money supply [1][3]. The CPI segment's payment acceptance hardware (coin validators, bill acceptors, cashless payment terminals) is physical infrastructure embedded in millions of vending machines, gaming devices, and retail kiosks globally, creating installed-base switching costs. However, the secular shift toward digital payments poses a longer-term risk to the physical cash handling equipment business, and AI-powered alternatives could eventually automate some product authentication processes currently served by the SAT segment. Analysts have noted 'shifting demand away from physical authentication as digital alternatives accelerate' as a structural risk [3]. AI Opportunity (0/1): No AI-related revenue has been quantified; the company's technology solutions are based on proprietary physical and optical methods rather than AI algorithms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Crane NXT Q2 2026 Earnings Release — Revenue $493M (+22% YoY), Adjusted EPS $1.10, Guidance Raised to $4.22-$4.42, SEC 8-K Filing, July 2026</w:t>
      </w:r>
    </w:p>
    <w:p>
      <w:pPr>
        <w:spacing w:before="20" w:after="20"/>
        <w:ind w:left="170"/>
      </w:pPr>
      <w:r>
        <w:rPr>
          <w:rFonts w:ascii="Calibri" w:hAnsi="Calibri"/>
          <w:b/>
          <w:color w:val="4A6B25"/>
          <w:sz w:val="15"/>
        </w:rPr>
        <w:t xml:space="preserve">2. </w:t>
      </w:r>
      <w:r>
        <w:rPr>
          <w:rFonts w:ascii="Calibri" w:hAnsi="Calibri"/>
          <w:b w:val="0"/>
          <w:color w:val="3A4A28"/>
          <w:sz w:val="17"/>
        </w:rPr>
        <w:t>Crane NXT Q1 2026 Earnings Release — Revenue $387.7M (+17.4% YoY), ~6% Organic Growth, Operating Margin 5.7%, SEC 8-K Filing, April 2026</w:t>
      </w:r>
    </w:p>
    <w:p>
      <w:pPr>
        <w:spacing w:before="20" w:after="20"/>
        <w:ind w:left="170"/>
      </w:pPr>
      <w:r>
        <w:rPr>
          <w:rFonts w:ascii="Calibri" w:hAnsi="Calibri"/>
          <w:b/>
          <w:color w:val="4A6B25"/>
          <w:sz w:val="15"/>
        </w:rPr>
        <w:t xml:space="preserve">3. </w:t>
      </w:r>
      <w:r>
        <w:rPr>
          <w:rFonts w:ascii="Calibri" w:hAnsi="Calibri"/>
          <w:b w:val="0"/>
          <w:color w:val="3A4A28"/>
          <w:sz w:val="17"/>
        </w:rPr>
        <w:t>Crane NXT Leadership — CEO Aaron Saak, Jason Lund Named CPI President, Jeong H. Kim Board Appointment, BusinessWire and Investor Relations,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CXT Key Statistics, Financial Data, and Market Data,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Crane NXT ESG/Impact Report — Inaugural ESG Report September 2024, Impact Report 2025, Company Publications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