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CX</w:t>
      </w:r>
      <w:r>
        <w:rPr>
          <w:rFonts w:ascii="Calibri" w:hAnsi="Calibri"/>
          <w:b/>
          <w:color w:val="1A2010"/>
          <w:sz w:val="40"/>
        </w:rPr>
        <w:t xml:space="preserve">  CEMEX, S.A.B. de C.V.</w:t>
      </w:r>
    </w:p>
    <w:p>
      <w:pPr>
        <w:spacing w:after="120"/>
      </w:pPr>
      <w:r>
        <w:rPr>
          <w:rFonts w:ascii="Calibri" w:hAnsi="Calibri"/>
          <w:b/>
          <w:color w:val="6E8450"/>
          <w:sz w:val="18"/>
        </w:rPr>
        <w:t>GROWTH SLEEVE · 2026-10-15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Building Materials · NYQ · Mexico</w:t>
      </w:r>
    </w:p>
    <w:p>
      <w:pPr>
        <w:spacing w:after="80"/>
      </w:pPr>
      <w:r>
        <w:rPr>
          <w:rFonts w:ascii="Calibri" w:hAnsi="Calibri"/>
          <w:b w:val="0"/>
          <w:color w:val="3A4A28"/>
          <w:sz w:val="20"/>
        </w:rPr>
        <w:t>CEMEX is a global building materials company that produces, distributes, and sells cement, ready-mix concrete, aggregates, and urbanization solutions across more than 50 countries. Major operations in Mexico, the United States, Europe, South/Central America, the Caribbean, Asia, and the Middle East. Founded in 1906, headquartered in Monterrey, Mexico. Q2 2026 sales reached $4.6B (+12% YoY) with EBITDA of $1.02B (+24%), and full-year EBITDA guidance raised to 16-17% growth. New CEO Jaime Muguiro succeeded Fernando Gonzalez in April 2025. Listed on the NYSE as ADR (CX).</w:t>
      </w:r>
    </w:p>
    <w:p>
      <w:r>
        <w:rPr>
          <w:rFonts w:ascii="Calibri" w:hAnsi="Calibri"/>
          <w:b/>
          <w:color w:val="6E8450"/>
          <w:sz w:val="18"/>
        </w:rPr>
        <w:t>38,495 Employees · https://www.cemex.com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CEMEX has executed significant strategic transformations for a traditional building materials company — launching CEMEX Go (the first end-to-end digital platform in construction materials, introduced 2017), establishing CEMEX Ventures (startup investment arm focused on construction tech including 3D printing with ready-mix concrete), and developing Vertua low-carbon cement products [2][3]. The Omega acquisition expanded the US footprint. These represent genuine innovation in a historically low-tech industry. AI Deployment (1/2): CEMEX deployed the LUCA AI agent for executive workflows in partnership with Microsoft, incorporating AI models into CEMEX Go for the order-to-fulfillment process, with MIT CISR documenting CEMEX's 'Journey to AI at Scale' [2]. New CEO Muguiro has made AI-powered operational efficiency a top priority, though specific revenue or cost savings are not quantified beyond Project Cutting Edge's $60M quarterly efficiencies. Market Share (1/2): CEMEX is a top-5 global cement producer with $17B+ TTM revenue, holding leading positions in Mexico and meaningful share in the US, Europe, and emerging markets [1]. However, construction materials is fundamentally a commodity business with regional competition. Product Pipeline (1/2): Vertua low-carbon cement line, Project Cutting Edge targeting $400M in recurring savings by 2027, and CEMEX Ventures' construction tech portfolio provide pipeline visibility. R&amp;D Intensity (1/1): R&amp;D spending on sustainability, digital platforms, and construction innovation exceeds industry norms for traditional building materials companies, with multiple industry-first digital initiatives.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CEMEX's mission 'to build a better future by providing superior construction solutions' is specific and thoughtful, connecting commercial activity to infrastructure development and societal improvement [3]. Under Fernando Gonzalez's 35-year tenure and now under Muguiro, the company has been an industry leader in sustainability and digitalization, with the net-zero 2050 commitment (SBTi 1.5C validated) demonstrating mission-driven investment. The 120-year continuity of purpose is distinctive among building materials companies. Community Impact (1/2): CEMEX operates in over 50 countries with community programs and was upgraded to AAA by MSCI ESG Ratings in March 2026, maintaining FTSE4Good Index membership [3][6]. Sustainalytics rates ESG management as Strong. No specific distinctive charitable dollar amounts identified. Employee Retention (1/2): New CEO Jaime Muguiro joined CEMEX in 1996 (30+ years), led operations across Egypt, Mediterranean, Americas, and the US before ascending to CEO in April 2025; predecessor Gonzalez served 35+ years [4]. This extraordinary leadership continuity suggests deep organizational commitment through internal development. The Fuckup Nights culture initiative (leaders sharing failures openly) signals psychological safety investment [5]. Insider Buying (0/2): No evidence of meaningful personal insider buying activity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CEMEX carries moderate D/E of 53.6%, within the 70% target (score 1.0) [3]. Forward P/E of 10.52 is well below the 20 target (score 1.0), and the PEG ratio of 0.39 is deeply below the 1.0 target (score 1.0, 2x weight), reflecting significant expected earnings normalization from depressed trailing levels [3]. Revenue grew 12.2% YoY (score 1.0), exceeding the 10% target, driven by volume recovery and pricing gains. The 5-year revenue CAGR of approximately 3.5% (score 0.57, 2x weight) reflects modest underlying growth in a mature industry. The primary drags are ROE of 4.0% (score 0.27, 2x weight), reflecting capital-intensive cement production and recent earnings compression from non-operating items, and profit margin of 2.8% (score 0.14), depressed by FX headwinds, depreciation, and one-time charges despite record EBITDA of $1.02B in Q2 [1]. Weighted sum 6.81/10 = 6.8 rounds to 7. Daily dollar volume of $62.8M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CEMEX is a 120-year-old company that demonstrates genuine infinite game qualities — a thoughtful purpose connected to building infrastructure, transformative digital innovation unusual for the cement industry, and exceptional leadership continuity (Gonzalez 35+ years, Muguiro 30+ years). The CEO transition from long-tenured Gonzalez to equally long-tenured Muguiro is a positive signal of institutional continuity and internal development. The Fuckup Nights culture initiative reflects openness unusual in industrial companies. However, strategic language around Project Cutting Edge cost savings and 'best-in-class shareholder return' reflects finite optimization tendencies, and the core business model has remained fundamentally unchanged for over a century.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CEMEX's mission 'to build a better future by providing superior construction solutions' is genuinely distinctive and has been validated by 120 years of execution through multiple market cycles, leadership transitions, and geographic expansions [3][4]. The net-zero 2050 commitment with SBTi 1.5C validation, CEMEX Ventures startup investments, and CEMEX Go digital platform all trace back to this purpose. The succession from Gonzalez (35 years) to Muguiro (30 years) demonstrates the cause survives leadership transitions. However, the mission hasn't been tested through an existential strategic transformation that required abandoning a profitable business.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CEMEX demonstrates exceptional internal talent development — new CEO Muguiro joined in 1996 (30 years), predecessor Gonzalez served 35+ years, and the succession was planned and orderly [4]. The Fuckup Nights initiative, where leaders share their failures in private sessions to foster innovation, signals investment in psychological safety unusual for traditional industrial companies [5]. However, no specific workforce turnover or employee satisfaction data was identified to distinguish CEMEX from industry peers.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CEMEX's competitive approach focuses on self-improvement through innovation rather than defeating rivals. The creation of CEMEX Go as the 'first end-to-end digital platform in construction materials' represented competing through capability building, not market share wars [2]. CEMEX Ventures invests in construction tech startups, including some that could disrupt traditional cement, showing willingness to learn from emerging rivals and use competitive pressure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CEMEX evolved from a regional Mexican cement company to a global building materials leader through aggressive acquisitions, survived near-bankruptcy in 2008-2009 through disciplined deleveraging, then pivoted toward digital leadership with CEMEX Go and sustainability with Vertua low-carbon products [2][3]. These represent meaningful strategic adaptation. However, the core business — producing and selling cement, concrete, and aggregates — has remained unchanged for 120 years; the digital and sustainability initiatives are enhancements, not business model transformations.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CEMEX committed to net-zero CO2 by 2050 with SBTi 1.5C validation — a genuinely courageous stance for a cement company (the industry produces 8% of global CO2) that requires billions in investment with uncertain ROI [3]. The company survived near-bankruptcy in 2008-2009 through disciplined deleveraging rather than fire-selling assets. However, recent strategic emphasis on Project Cutting Edge cost savings ($400M target) and near-term efficiency metrics reflects finite optimization rather than bold long-term capability building.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CEMEX at $9.52 with a $13.7B market cap trades at a compelling 10.52x forward earnings (PEG 0.39), reflecting both deep value and expected earnings normalization from depressed trailing levels. Q2 2026 delivered sales of $4.6B (+12% YoY), EBITDA of $1.02B (+24%), and EBIT up 38%, leading management to raise full-year EBITDA guidance to 16-17% growth [1]. Project Cutting Edge has delivered $60M in quarterly efficiencies toward the $400M recurring savings target by 2027. CEMEX's physical infrastructure business is among the most AI-immune sectors — every data center requires massive concrete foundations — and the company's digital leadership (CEMEX Go, LUCA AI agent) differentiates it from commodity peers [2]. The CEO succession from 35-year veteran Gonzalez to 30-year veteran Muguiro provides rare institutional continuity, with Muguiro prioritizing US growth opportunities [4].</w:t>
      </w:r>
    </w:p>
    <w:p>
      <w:pPr>
        <w:spacing w:after="120"/>
      </w:pPr>
      <w:r>
        <w:rPr>
          <w:rFonts w:ascii="Calibri" w:hAnsi="Calibri"/>
          <w:b w:val="0"/>
          <w:color w:val="3A4A28"/>
          <w:sz w:val="20"/>
        </w:rPr>
        <w:t>The bear case centers on CEMEX's inherent commodity cyclicality, structurally thin margins, and geographic risk. Net profit margin of just 2.8% and ROE of 4.0% are well below cost of capital, indicating the business struggles to generate adequate returns despite strong EBITDA performance — the gap reflects heavy depreciation, FX headwinds from the Mexican peso, and the capital intensity of cement production [1][3]. The trailing P/E of 86.55x (vs. 10.52x forward) reveals extreme earnings volatility, with Q2 2026 controlling net income down 45% YoY due to non-operating items. The cement industry produces 8% of global CO2 emissions, creating long-term carbon regulatory risk despite CEMEX's SBTi-validated net-zero commitment [3]. The 5-year revenue CAGR of only 3.5% reflects the mature, low-growth nature of construction materials, and the stock has declined from $11.06 to $9.52 (-14%) since August. Significant emerging market operations expose the company to currency volatility, political risk, and a corruption allegation linked to CEMEX Colombia's construction contracts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Project Cutting Edge targeting $400M in recurring EBITDA savings by 2027, with $60M delivered in Q2 2026 alone, driving continued margin expansion on top of record EBITDA performance [1]</w:t>
      </w:r>
    </w:p>
    <w:p>
      <w:pPr>
        <w:spacing w:before="40" w:after="40"/>
        <w:ind w:left="283"/>
      </w:pPr>
      <w:r>
        <w:rPr>
          <w:rFonts w:ascii="Calibri" w:hAnsi="Calibri"/>
          <w:b/>
          <w:color w:val="4A6B25"/>
          <w:sz w:val="20"/>
        </w:rPr>
        <w:t xml:space="preserve">2. </w:t>
      </w:r>
      <w:r>
        <w:rPr>
          <w:rFonts w:ascii="Calibri" w:hAnsi="Calibri"/>
          <w:b w:val="0"/>
          <w:color w:val="3A4A28"/>
          <w:sz w:val="20"/>
        </w:rPr>
        <w:t>AI infrastructure buildout driving cement and concrete demand as data center construction accelerates globally — each large data center requires thousands of tons of concrete, and CEMEX's US operations are positioned to benefit from reshoring trends [1]</w:t>
      </w:r>
    </w:p>
    <w:p>
      <w:pPr>
        <w:spacing w:before="40" w:after="40"/>
        <w:ind w:left="283"/>
      </w:pPr>
      <w:r>
        <w:rPr>
          <w:rFonts w:ascii="Calibri" w:hAnsi="Calibri"/>
          <w:b/>
          <w:color w:val="4A6B25"/>
          <w:sz w:val="20"/>
        </w:rPr>
        <w:t xml:space="preserve">3. </w:t>
      </w:r>
      <w:r>
        <w:rPr>
          <w:rFonts w:ascii="Calibri" w:hAnsi="Calibri"/>
          <w:b w:val="0"/>
          <w:color w:val="3A4A28"/>
          <w:sz w:val="20"/>
        </w:rPr>
        <w:t>Deep value at 10.52x forward earnings with PEG of 0.39 provides significant re-rating potential if earnings normalize from depressed trailing levels, with full-year EBITDA guidance raised to 16-17% growth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Cement industry produces 8% of global CO2 emissions — tightening carbon regulations (EU ETS, potential US carbon border adjustments) could increase production costs significantly despite CEMEX's sustainability leadership and MSCI AAA ESG rating [3][6]</w:t>
      </w:r>
    </w:p>
    <w:p>
      <w:pPr>
        <w:spacing w:before="40" w:after="40"/>
        <w:ind w:left="283"/>
      </w:pPr>
      <w:r>
        <w:rPr>
          <w:rFonts w:ascii="Calibri" w:hAnsi="Calibri"/>
          <w:b/>
          <w:color w:val="4A6B25"/>
          <w:sz w:val="20"/>
        </w:rPr>
        <w:t xml:space="preserve">2. </w:t>
      </w:r>
      <w:r>
        <w:rPr>
          <w:rFonts w:ascii="Calibri" w:hAnsi="Calibri"/>
          <w:b w:val="0"/>
          <w:color w:val="3A4A28"/>
          <w:sz w:val="20"/>
        </w:rPr>
        <w:t>Net profit margin of 2.8% and ROE of 4.0% are well below cost of capital, reflecting a business that generates strong EBITDA but struggles to deliver adequate returns after depreciation, FX headwinds, and financing costs — trailing P/E of 86.55x reveals extreme earnings volatility [1][3]</w:t>
      </w:r>
    </w:p>
    <w:p>
      <w:pPr>
        <w:spacing w:before="40" w:after="40"/>
        <w:ind w:left="283"/>
      </w:pPr>
      <w:r>
        <w:rPr>
          <w:rFonts w:ascii="Calibri" w:hAnsi="Calibri"/>
          <w:b/>
          <w:color w:val="4A6B25"/>
          <w:sz w:val="20"/>
        </w:rPr>
        <w:t xml:space="preserve">3. </w:t>
      </w:r>
      <w:r>
        <w:rPr>
          <w:rFonts w:ascii="Calibri" w:hAnsi="Calibri"/>
          <w:b w:val="0"/>
          <w:color w:val="3A4A28"/>
          <w:sz w:val="20"/>
        </w:rPr>
        <w:t>Significant emerging market exposure (Mexico, South America, Middle East) creates currency, political, and infrastructure spending volatility, with a corruption allegation linked to CEMEX Colombia payments to political figures adding governance risk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Cement and concrete production is a physical-world, capital-intensive business that AI structurally cannot displace. Mining limestone, operating kilns at 1,450C, batching ready-mix concrete, and delivering it to construction sites require heavy industrial infrastructure, regulatory permits, and local distribution networks that no AI model can replicate [1]. Construction materials demand is tied to physical infrastructure spending (housing, roads, bridges, data centers), which AI adoption actually increases — every new data center requires massive amounts of concrete and cement. CEMEX's geographic distribution network across 50+ countries creates additional moats that AI cannot breach. New CEO Muguiro has made embracing AI a priority, viewing it as enhancing employees' capabilities rather than replacing them [2]. AI Opportunity (0/1): CEMEX uses AI operationally through CEMEX Go (order fulfillment, logistics optimization) and the LUCA AI agent for executive workflows with Microsoft, but does not generate AI-specific revenue from selling AI products or services to external customers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CEMEX Q2 2026 Earnings Release — Net Sales $4.6B (+12% YoY), EBITDA $1.02B (+24%), EBIT +38%, Guidance Raised to 16-17% EBITDA Growth, Quartr Summary, July 2026</w:t>
      </w:r>
    </w:p>
    <w:p>
      <w:pPr>
        <w:spacing w:before="20" w:after="20"/>
        <w:ind w:left="170"/>
      </w:pPr>
      <w:r>
        <w:rPr>
          <w:rFonts w:ascii="Calibri" w:hAnsi="Calibri"/>
          <w:b/>
          <w:color w:val="4A6B25"/>
          <w:sz w:val="15"/>
        </w:rPr>
        <w:t xml:space="preserve">2. </w:t>
      </w:r>
      <w:r>
        <w:rPr>
          <w:rFonts w:ascii="Calibri" w:hAnsi="Calibri"/>
          <w:b w:val="0"/>
          <w:color w:val="3A4A28"/>
          <w:sz w:val="17"/>
        </w:rPr>
        <w:t>CEMEX AI and Digital Strategy — LUCA AI Agent (Microsoft), CEMEX Go Platform, MIT CISR 'Journey to AI at Scale', CEO Muguiro Priorities, 2023-2026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CX Key Statistics, Forward P/E 10.52x, D/E 53.6%, PEG 0.39,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CEMEX Leadership Transition — Jaime Muguiro (CEO, 30-year veteran) succeeding Fernando Gonzalez (35-year tenure), April 2025; Quantisnow, cemex.com</w:t>
      </w:r>
    </w:p>
    <w:p>
      <w:pPr>
        <w:spacing w:before="20" w:after="20"/>
        <w:ind w:left="170"/>
      </w:pPr>
      <w:r>
        <w:rPr>
          <w:rFonts w:ascii="Calibri" w:hAnsi="Calibri"/>
          <w:b/>
          <w:color w:val="4A6B25"/>
          <w:sz w:val="15"/>
        </w:rPr>
        <w:t xml:space="preserve">5. </w:t>
      </w:r>
      <w:r>
        <w:rPr>
          <w:rFonts w:ascii="Calibri" w:hAnsi="Calibri"/>
          <w:b w:val="0"/>
          <w:color w:val="3A4A28"/>
          <w:sz w:val="17"/>
        </w:rPr>
        <w:t>CEMEX Culture and Innovation — Fuckup Nights failure-sharing initiative, Fuckup Nights Insights, 2025</w:t>
      </w:r>
    </w:p>
    <w:p>
      <w:pPr>
        <w:spacing w:before="20" w:after="20"/>
        <w:ind w:left="170"/>
      </w:pPr>
      <w:r>
        <w:rPr>
          <w:rFonts w:ascii="Calibri" w:hAnsi="Calibri"/>
          <w:b/>
          <w:color w:val="4A6B25"/>
          <w:sz w:val="15"/>
        </w:rPr>
        <w:t xml:space="preserve">6. </w:t>
      </w:r>
      <w:r>
        <w:rPr>
          <w:rFonts w:ascii="Calibri" w:hAnsi="Calibri"/>
          <w:b w:val="0"/>
          <w:color w:val="3A4A28"/>
          <w:sz w:val="17"/>
        </w:rPr>
        <w:t>CEMEX ESG Profile — MSCI AAA Rating (March 2026), Sustainalytics Medium Risk (23.9), Colombia Corruption Allegation, WorldCement and Yahoo Finance,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