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w:t>
      </w:r>
      <w:r>
        <w:rPr>
          <w:rFonts w:ascii="Calibri" w:hAnsi="Calibri"/>
          <w:b/>
          <w:color w:val="1A2010"/>
          <w:sz w:val="40"/>
        </w:rPr>
        <w:t xml:space="preserve">  Citigroup Inc.</w:t>
      </w:r>
    </w:p>
    <w:p>
      <w:pPr>
        <w:spacing w:after="120"/>
      </w:pPr>
      <w:r>
        <w:rPr>
          <w:rFonts w:ascii="Calibri" w:hAnsi="Calibri"/>
          <w:b/>
          <w:color w:val="6E8450"/>
          <w:sz w:val="18"/>
        </w:rPr>
        <w:t>DIVIDEND SLEEVE · 2026-10-04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United States</w:t>
      </w:r>
    </w:p>
    <w:p>
      <w:pPr>
        <w:spacing w:after="80"/>
      </w:pPr>
      <w:r>
        <w:rPr>
          <w:rFonts w:ascii="Calibri" w:hAnsi="Calibri"/>
          <w:b w:val="0"/>
          <w:color w:val="3A4A28"/>
          <w:sz w:val="20"/>
        </w:rPr>
        <w:t>Citigroup Inc. is a diversified financial services holding company operating through five segments: Services (treasury and trade solutions, securities services), Markets (fixed income and equities trading), Banking (investment banking, corporate lending), U.S. Personal Banking (branded cards, retail services), and Wealth (private banking, Citigold). CEO Jane Fraser, named Euromoney Banker of the Year 2025 and elected Board Chair, is executing a multi-year transformation that includes exiting 14 consumer banking markets, cutting ~20,000 jobs, and reorganizing into a simplified five-segment structure. Q2 2026 delivered $24.8B in revenue (+14% YoY) and $5.8B net income (+45% YoY), the best quarterly revenue in a decade.</w:t>
      </w:r>
    </w:p>
    <w:p>
      <w:r>
        <w:rPr>
          <w:rFonts w:ascii="Calibri" w:hAnsi="Calibri"/>
          <w:b/>
          <w:color w:val="6E8450"/>
          <w:sz w:val="18"/>
        </w:rPr>
        <w:t>219,000 Employees · https://www.citigroup.com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Fraser's transformation — exiting 14 consumer markets, reorganizing into 5 segments, and simplifying the operating model — is a significant operational restructuring but not a product innovation or business model transformation that opened new revenue streams [1]. The restructuring aims to close a persistent ROE gap with JPMorgan and Goldman Sachs rather than create new capabilities. AI Deployment (1/2): Citi mandated AI training for 175,000 employees across 80 locations and hired a former Google executive as CIO to accelerate AI integration [2]. AI is being deployed across the Wealth business for advisor productivity, and CEO Fraser is described as 'the number one advocate for AI innovation across the firm.' However, Glassdoor reviews note 'a lot of talk about AI, but very little understanding,' with projects feeling rushed [2]. No specific AI-driven cost savings or revenue gains have been publicly quantified. Market Share (1/2): Citi's Treasury and Trade Solutions (TTS) is a top-3 global transaction banking franchise, and the Markets division delivered its best quarterly revenue in a decade in Q2 2026 [1]. However, Citi is not the leader or fastest share gainer in any major category — JPMorgan dominates investment banking and consumer, and Goldman leads in trading. Product Pipeline (0/2): No specific next-generation products with named timelines were identified. The transformation is operational, not product-driven. R&amp;D Intensity (1/1): Citi's annual technology spending exceeds $12B, placing it among the highest spenders in global banking and above industry average relative to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Citigroup's mission — 'to serve as a trusted partner to our clients by responsibly providing financial services that enable growth and economic progress' — is clear and identifies what the company does, but it is not distinctive [3]. Any diversified bank could claim the same purpose. It does not articulate a deeper vision of a future state or differentiate from JPMorgan, Bank of America, or Wells Fargo. Community Impact (1/2): The Citi Foundation has invested over $200M in community development and financial inclusion programs globally. Citi committed $1 trillion in sustainable finance by 2030 and has a 29% absolute emissions-reduction target for energy sector financing by 2030, ahead of US banking peers [3]. These are meaningful but largely standard for a top-5 global bank. Employee Retention (0/2): Fraser's transformation has included ~20,000 job cuts, and Glassdoor reviews describe a culture where technology 'felt behind what most companies are using' and AI initiatives are 'rushed just to show something was being done' [2]. No evidence of above-average retention or employee tenure data was identified.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Citigroup's standout metric is its deeply discounted valuation: Forward P/E of 9.96 is well below the 20x target, reflecting the market's skepticism about the transformation [4]. Profit margin of 21.8% exceeds the 20% target, and revenue growth YoY of 15.5% surpasses the 10% threshold, driven by 14% revenue gains in both Q1 and Q2 2026 — the best quarterly revenues in a decade [1]. Payout ratio of 25.9% is conservatively below the 40% target, and consecutive years paid (~15) scores at the maximum. The primary drags are: ROE of 8.5% is well below the 15% target and lags JPMorgan's ~17%, reflecting the structural inefficiency Fraser's transformation aims to fix. Consecutive dividend growth of only 3 years (dividends were frozen at $2.04 from 2020-2022) and a 5-year dividend growth CAGR of ~2.6% penalize the dividend growth metrics. D/E is excluded as banks do not report traditional debt-to-equity ratios. Liquidity is excellent at ~$1.3B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Citigroup under Jane Fraser is executing a necessary but fundamentally reactive transformation — exiting unprofitable markets and restructuring to close a performance gap with rivals, not advancing a distinctive Just Cause. The mission is interchangeable with any global bank, and the ~20,000 job cuts create a low-trust environment inconsistent with Sinek's Circle of Safety. The exit from 14 consumer markets demonstrates some existential flexibility, and Fraser's willingness to acknowledge JPMorgan as a performance benchmark shows an infinite competitive mindset, but the overall posture is about survival and catch-up rather than building something that endures.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Citigroup's mission — 'to serve as a trusted partner by responsibly providing financial services that enable growth and economic progress' — is a boilerplate banking statement that could apply to any financial institution [3]. Fraser's transformation narrative centers on closing the ROE gap with JPMorgan and simplifying operations, which is a finite goal (beat the competition on returns) rather than an infinite cause. The company does not articulate a vision of a future state so appealing that people would sacrifice to advance it. Sinek would see a company playing to win this quarter's earnings comparison, not playing to keep playing.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~20,000 job cuts across the transformation, combined with the exit from 14 consumer banking markets, create significant organizational instability [2]. Glassdoor reviews describe a culture where technology 'felt behind what most companies are using' and AI initiatives are 'rushed just to show something was being done.' The restructuring into five segments has involved displacing thousands of middle managers and reconfiguring reporting lines, which erodes psychological safety. Sinek would see an organization where employees spend energy protecting their positions rather than advancing a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Fraser explicitly acknowledges JPMorgan's operational superiority as the benchmark Citi aspires to match, framing the performance gap as motivation for self-improvement rather than competitive destruction [1]. The transformation narrative is built around 'closing the gap' — using rivals' strengths to illuminate Citi's own weaknesses in operational efficiency, technology, and returns. This is precisely Sinek's worthy rivals concept: learning from competitors rather than trying to destroy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Exiting 14 consumer banking markets represents a significant strategic pivot — abandoning profitable retail operations in 13 countries to focus on institutional and wealth businesses where Citi has stronger competitive positioning [1]. This demonstrates willingness to shrink the company's geographic footprint in service of a more focused strategy. However, the exits were driven by competitive necessity (underperformance vs. local banks) rather than a Just Cause, and the core business model (diversified global banking) remains unchanged. Sinek would note this is adaptive flexibility,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Fraser made the costly decision to exit 14 consumer banking markets, accepting significant restructuring charges and short-term earnings pain to simplify the operating model [1]. The AI retraining mandate for 175,000 employees represents an investment in future capability over near-term cost efficiency. However, these decisions are driven by competitive necessity — closing the ROE gap with rivals — rather than principled long-term bets that sacrifice earnings for a cause. The job cuts of ~20,000 employees, while necessary, prioritize efficiency over people, which Sinek would view with skepticism.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Citigroup at 9.96x forward earnings offers a deep-value entry into a turnaround story with accelerating fundamentals. Q2 2026 delivered $24.8B revenue (+14% YoY) and $5.8B net income (+45% YoY), the best quarterly revenue in a decade, with strength across Services, Markets, Banking, and Wealth [1]. The transformation under CEO Jane Fraser — exiting 14 consumer markets, reorganizing into 5 segments, mandating AI training for 175,000 employees — is designed to close the structural ROE gap with JPMorgan (Citi's 8.5% vs. JPM's ~17%). At forward P/E under 10x and a PEG of 0.6, the market is pricing in minimal credit for transformation success, creating significant upside if Fraser delivers even partial improvement toward the mid-teens ROE target. Net interest income of $17.1B (+13% YoY) and non-interest revenue growth of 18% demonstrate broad-based momentum [1].</w:t>
      </w:r>
    </w:p>
    <w:p>
      <w:pPr>
        <w:spacing w:after="120"/>
      </w:pPr>
      <w:r>
        <w:rPr>
          <w:rFonts w:ascii="Calibri" w:hAnsi="Calibri"/>
          <w:b w:val="0"/>
          <w:color w:val="3A4A28"/>
          <w:sz w:val="20"/>
        </w:rPr>
        <w:t>The bear case centers on execution risk, ROE compression, and cultural disruption. Citigroup has underperformed peers on ROE for over a decade, and previous transformation attempts under prior CEOs failed to close the gap [1]. The ~20,000 job cuts and exit from 14 consumer markets create organizational instability — Glassdoor reviews describe rushed AI projects and technology that 'felt behind what most companies are using' [2]. The 8.5% ROE remains well below the 15% target and regulatory minimum expectations, requiring sustained expense discipline and revenue growth to improve. ESG controversy over continued fossil fuel financing and a MISALIGNED Inspire score of -67 may limit faith-based allocation [3]. The 2.09% dividend yield with only 3 consecutive years of growth and 2.6% 5-year dividend growth CAGR makes Citigroup an inferior income holding compared to established Dividend Kings. The 5-year revenue CAGR of only ~3% reflects years of restructuring that masked underlying growth. If the transformation stalls, the stock's discount valuation could persist indefinitely as a 'value trap.'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Transformation execution driving ROE toward management's mid-teens target from current 8.5% could re-rate the stock from 10x to 12-14x forward earnings, representing 30-50% upside from operational improvement alone [1]</w:t>
      </w:r>
    </w:p>
    <w:p>
      <w:pPr>
        <w:spacing w:before="40" w:after="40"/>
        <w:ind w:left="283"/>
      </w:pPr>
      <w:r>
        <w:rPr>
          <w:rFonts w:ascii="Calibri" w:hAnsi="Calibri"/>
          <w:b/>
          <w:color w:val="4A6B25"/>
          <w:sz w:val="20"/>
        </w:rPr>
        <w:t xml:space="preserve">2. </w:t>
      </w:r>
      <w:r>
        <w:rPr>
          <w:rFonts w:ascii="Calibri" w:hAnsi="Calibri"/>
          <w:b w:val="0"/>
          <w:color w:val="3A4A28"/>
          <w:sz w:val="20"/>
        </w:rPr>
        <w:t>AI integration across 175,000 employees and wealth management could generate meaningful expense savings and revenue lift, with former Google CIO hire signaling institutional commitment to technology modernization [2]</w:t>
      </w:r>
    </w:p>
    <w:p>
      <w:pPr>
        <w:spacing w:before="40" w:after="40"/>
        <w:ind w:left="283"/>
      </w:pPr>
      <w:r>
        <w:rPr>
          <w:rFonts w:ascii="Calibri" w:hAnsi="Calibri"/>
          <w:b/>
          <w:color w:val="4A6B25"/>
          <w:sz w:val="20"/>
        </w:rPr>
        <w:t xml:space="preserve">3. </w:t>
      </w:r>
      <w:r>
        <w:rPr>
          <w:rFonts w:ascii="Calibri" w:hAnsi="Calibri"/>
          <w:b w:val="0"/>
          <w:color w:val="3A4A28"/>
          <w:sz w:val="20"/>
        </w:rPr>
        <w:t>Continued momentum in Services (TTS) and Markets divisions, which delivered record revenue in Q2 2026, positions Citi to benefit from global trade growth and capital markets activity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ROE underperformance vs. JPMorgan (8.5% vs. ~17%) has persisted through multiple CEO tenures and transformation attempts — the market may be correct that Citi's global complexity makes mid-teens ROE structurally unachievable [1]</w:t>
      </w:r>
    </w:p>
    <w:p>
      <w:pPr>
        <w:spacing w:before="40" w:after="40"/>
        <w:ind w:left="283"/>
      </w:pPr>
      <w:r>
        <w:rPr>
          <w:rFonts w:ascii="Calibri" w:hAnsi="Calibri"/>
          <w:b/>
          <w:color w:val="4A6B25"/>
          <w:sz w:val="20"/>
        </w:rPr>
        <w:t xml:space="preserve">2. </w:t>
      </w:r>
      <w:r>
        <w:rPr>
          <w:rFonts w:ascii="Calibri" w:hAnsi="Calibri"/>
          <w:b w:val="0"/>
          <w:color w:val="3A4A28"/>
          <w:sz w:val="20"/>
        </w:rPr>
        <w:t>Organizational disruption from ~20,000 job cuts, 14 consumer market exits, and a cultural overhaul risks talent attrition and execution failures during the multi-year transformation [2]</w:t>
      </w:r>
    </w:p>
    <w:p>
      <w:pPr>
        <w:spacing w:before="40" w:after="40"/>
        <w:ind w:left="283"/>
      </w:pPr>
      <w:r>
        <w:rPr>
          <w:rFonts w:ascii="Calibri" w:hAnsi="Calibri"/>
          <w:b/>
          <w:color w:val="4A6B25"/>
          <w:sz w:val="20"/>
        </w:rPr>
        <w:t xml:space="preserve">3. </w:t>
      </w:r>
      <w:r>
        <w:rPr>
          <w:rFonts w:ascii="Calibri" w:hAnsi="Calibri"/>
          <w:b w:val="0"/>
          <w:color w:val="3A4A28"/>
          <w:sz w:val="20"/>
        </w:rPr>
        <w:t>Regulatory and credit risk exposure as a global systemically important bank (G-SIB) — any credit cycle deterioration in consumer cards or corporate lending could derail earnings momentum and consume management bandwidth needed for transformation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structurally protected from AI displacement by heavy regulation (OCC, Federal Reserve, FDIC capital requirements), high switching costs for corporate treasury clients, and the physical infrastructure of global payment networks and correspondent banking relationships that AI cannot replicate [2]. Citi's TTS franchise processes trillions in daily transactions through proprietary rails that require regulatory licenses in 95+ countries. However, AI does create real substitution risk for middle-office and back-office functions — compliance monitoring, trade settlement, customer service, and basic financial analysis could see significant automation. CEO Fraser explicitly acknowledged AI will 'wipe out desk jobs' and is retraining 175,000 employees in anticipation [2]. Fintech competitors leveraging AI for payments, lending, and wealth management pose incremental competitive pressure, though regulatory barriers limit their ability to fully displace a systemically important financial institution. AI Opportunity (0/1): While Citi is deploying AI internally across wealth management and operations and has hired a former Google executive as CIO, no specific AI-generated revenue from AI products or services has been quantified [2]. The bank uses AI to improve efficiency rather than selling AI-powered products to external clients.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Citigroup Q2 2026 Earnings Release — Revenue $24.8B (+14% YoY), Net Income $5.8B (+45% YoY), NII $17.1B (+13%), Best Quarterly Revenue in a Decade — Citigroup.com,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Fortune — 'Citigroup CEO Jane Fraser Training 175,000 Employees to Reinvent Themselves with AI'; Forbes — 'Transforming Wealth Management Using AI at Citi'; CIO Dive — Citi Hires Former Google Exec as CIO, January-May 2026</w:t>
      </w:r>
    </w:p>
    <w:p>
      <w:pPr>
        <w:spacing w:before="20" w:after="20"/>
        <w:ind w:left="170"/>
      </w:pPr>
      <w:r>
        <w:rPr>
          <w:rFonts w:ascii="Calibri" w:hAnsi="Calibri"/>
          <w:b/>
          <w:color w:val="4A6B25"/>
          <w:sz w:val="15"/>
        </w:rPr>
        <w:t xml:space="preserve">3. </w:t>
      </w:r>
      <w:r>
        <w:rPr>
          <w:rFonts w:ascii="Calibri" w:hAnsi="Calibri"/>
          <w:b w:val="0"/>
          <w:color w:val="3A4A28"/>
          <w:sz w:val="17"/>
        </w:rPr>
        <w:t>ESG Dive — Citi LNG Financing Controversy; KnowESG — Citigroup MSCI ESG Rating A; Citi Sustainability Commitments and Emissions Reduction Targets,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 Key Statistics: Forward P/E 9.96, ROE 8.53%, Profit Margin 21.83%, Dividend Yield 2.09%, PEG 0.6,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