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DBD</w:t>
      </w:r>
      <w:r>
        <w:rPr>
          <w:rFonts w:ascii="Calibri" w:hAnsi="Calibri"/>
          <w:b/>
          <w:color w:val="1A2010"/>
          <w:sz w:val="40"/>
        </w:rPr>
        <w:t xml:space="preserve">  Diebold Nixdorf, Incorporated</w:t>
      </w:r>
    </w:p>
    <w:p>
      <w:pPr>
        <w:spacing w:after="120"/>
      </w:pPr>
      <w:r>
        <w:rPr>
          <w:rFonts w:ascii="Calibri" w:hAnsi="Calibri"/>
          <w:b/>
          <w:color w:val="6E8450"/>
          <w:sz w:val="18"/>
        </w:rPr>
        <w:t>GROWTH SLEEVE · 2026-10-13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NYQ · United States</w:t>
      </w:r>
    </w:p>
    <w:p>
      <w:pPr>
        <w:spacing w:after="80"/>
      </w:pPr>
      <w:r>
        <w:rPr>
          <w:rFonts w:ascii="Calibri" w:hAnsi="Calibri"/>
          <w:b w:val="0"/>
          <w:color w:val="3A4A28"/>
          <w:sz w:val="20"/>
        </w:rPr>
        <w:t>Diebold Nixdorf provides connected commerce solutions across the banking and retail industries worldwide. The Banking segment manufactures ATMs, cash recyclers, teller automation tools, and branch automation solutions. The Retail segment offers AI-powered self-checkout solutions, POS systems, and the DN Vynamic Platform. Founded in 1859, headquartered in North Canton, Ohio, the company emerged from Chapter 11 bankruptcy in August 2023. Q2 2026 revenue was $930.8M with retail surging approximately 24% YoY and Adjusted EBITDA growing 8% [1][2]. Full-year 2026 guidance reaffirmed at $3.86-3.94B revenue and $510-535M Adjusted EBITDA.</w:t>
      </w:r>
    </w:p>
    <w:p>
      <w:r>
        <w:rPr>
          <w:rFonts w:ascii="Calibri" w:hAnsi="Calibri"/>
          <w:b/>
          <w:color w:val="6E8450"/>
          <w:sz w:val="18"/>
        </w:rPr>
        <w:t>20,000 Employees · https://www.dieboldnixdorf.com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Diebold Nixdorf has executed a significant post-bankruptcy transformation, pivoting toward an AI-powered retail technology platform. Retail segment revenue grew approximately 24% YoY in Q2 2026 with European POS sales surging nearly 170% and North America retail achieving 70% growth in Q1, powered by AI-enhanced self-checkout wins [1][2]. The company recently appointed Andy Zosel as Chief Product and Technology Officer and Raj Singh as CIO, both focused on AI and automation, signaling institutional commitment to technology transformation [3]. AI Deployment (1/2): DBD deploys AI-powered self-checkout solutions to retail customers and uses the Allconnect data engine for AI-driven predictive diagnostics across its installed base. CEO Marquez cited Zosel's 'proven expertise in scaling automation and AI' as key to speeding solution development [3]. However, specific AI-driven revenue or cost savings are not quantified separately. Market Share (2/2): Diebold Nixdorf is one of two dominant global ATM manufacturers (alongside NCR Atleos), operating in 100+ countries with deep institutional banking and retail relationships [2]. The retail segment is gaining share through AI-powered self-checkout wins across multiple geographies. Product Pipeline (1/2): FY2026 guidance of $3.86-3.94B revenue with $510-535M Adjusted EBITDA and $255-270M FCF provides financial visibility [1]. The DN Vynamic software platform and AI-driven retail solutions represent evolving product lines, but specific next-gen products with named launch dates are not publicly articulated. R&amp;D Intensity (0/1): No evidence of above-average R&amp;D spending relative to technology peers. The CPTO appointment signals increased investment focus but quantified R&amp;D data is not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Diebold Nixdorf describes its purpose as 'automating, digitizing, and transforming the way people bank and shop worldwide' [2]. This is a functional description that could describe any fintech or retail technology provider — it identifies what and who but articulates no deeper aspirational vision. Community Impact (1/2): The ESG Impact platform engages 1,100+ employees in socio-environmental projects, and the company's Paderborn, Germany facility achieved 100% renewable electricity with a solar rooftop project generating 86,000+ kWh [4]. ESG reports align with GRI Standards and Sustainalytics rates ESG risk management as 'Strong.' However, no specific charitable foundation or quantified community investment is cited. Employee Retention (1/2): CEO Octavio Marquez has 30 years in banking technology and was internally developed into the CEO role in 2022 [2]. Recent AI-focused C-suite hires (CPTO Zosel, CIO Singh) show deliberate capability building [3]. However, Glassdoor reviews (3.5/5, 2,300+ reviews, 58% recommend, 61% CEO approval) cite concerns about workload, management consistency, and compensation, and the 2023 bankruptcy inevitably damaged organizational trust [5]. Insider Buying (1/2): CEO Marquez purchased $99K in shares, CFO Timko purchased $50K, and officer Myers purchased $100K in May 2026, demonstrating management conviction [5]. However, major shareholder Millstreet Capital Management sold $22.1M in shares in June 2026, representing significant institutional net selling that partially offsets executive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Diebold Nixdorf's post-bankruptcy financials show stabilizing fundamentals with compressed valuation. Forward P/E of 9.06 is well below the 20 target (score 1.0) after the stock's 15% decline from the prior screen [5]. D/E of 113.5% is above the 70% target (score 0.81), having worsened from 91.8% in the prior quarter. ROE of 10.9% is below the 15% target (score 0.73, 2x weight). Revenue growth YoY slowed to 1.7% in Q2 2026 as banking deployment timing delays offset retail strength (score 0.72) [1][2]. The 5yr revenue CAGR of approximately 3.2% (post-bankruptcy recovery period) scores 0.55 with 2x weight. GAAP profit margin of 2.87% remains the primary drag, typical for hardware-heavy companies but well below the 20% target (score 0.14) [5]. PEG unavailable and excluded. Liquidity cleared at $16.8M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Diebold Nixdorf's 167-year history since 1859 is extraordinary evidence of institutional endurance, but the 2023 bankruptcy represents a profound failure of infinite-game discipline — the company over-leveraged to acquire Wincor Nixdorf and nearly destroyed itself. The post-bankruptcy reset under CEO Marquez has stabilized operations and restored profitability. The retail pivot with AI-powered self-checkout shows adaptive capability. However, Glassdoor reviews suggest organizational trust has not fully recovered from the bankruptcy [5], and the competitive posture remains focused on winning share rather than self-improvement.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Diebold Nixdorf has a 167-year heritage connecting physical and digital commerce — from safes in 1859 to ATMs to modern AI-powered banking and retail solutions. The purpose of enabling secure, accessible financial and retail transactions has endured through enormous technological change [2]. CEO Marquez expresses pride in the company's roots while pushing AI-driven transformation. However, the mission as currently articulated ('automating, digitizing, transforming') is operational rather than inspirational, and the 2023 bankruptcy breaks the chain of consistent purpose that Sinek values — the cause wasn't strong enough to prevent financial recklessness.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2023 bankruptcy inevitably damaged organizational trust across a 20,000-employee global organization. Glassdoor reviews (3.5/5, 2,300+ reviews, 58% recommend) cite concerns about high workload, unrealistic deadlines, inconsistent leadership, and compensation not matching responsibilities [5]. Post-bankruptcy organizations typically carry residual uncertainty about company stability. While CEO Marquez's internal promotion and strategic C-suite hires show investment in talent, the employee satisfaction data suggests the Circle of Safety has not been fully rebuilt.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Diebold Nixdorf competes against NCR Atleos in ATMs and various players in retail POS/self-checkout (including Toshiba Global Commerce Solutions). No evidence of management acknowledging competitors' strengths or framing competition as motivation to improve [2]. The competitive language focuses on DBD's own capabilities, market wins, and growth rates rather than learning from rivals' advantages.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Diebold Nixdorf has demonstrated strategic adaptation over its 167-year history — from safes to ATMs to digital banking to AI-powered retail solutions. The post-bankruptcy pivot toward retail technology, with the retail segment growing 20-24% while banking softens from timing delays, represents meaningful current-era adaptation [1][2]. The company is actively rebalancing toward higher-growth AI-enhanced retail solutions. However, the Wincor Nixdorf acquisition that led to bankruptcy was itself a failed flexibility attempt — a transformative bet that created $3.2B in unsustainable debt.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Marquez led the company through Chapter 11 in under three months and emerged with a restructured balance sheet [2]. The post-bankruptcy pivot toward retail AI-powered self-checkout — now growing 20-24% YoY for multiple consecutive quarters — represents a strategic bet on retail technology over legacy banking [1][2]. The appointments of AI-focused C-suite leaders (CPTO Zosel, CIO Singh) show investment in future capability [3]. However, the bankruptcy itself was a consequence of prior leadership's poor financial management, and Marquez's decisions were survival moves rather than proactive courageous choices.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Diebold Nixdorf at $63.62 with a $2.16B market cap is a post-bankruptcy turnaround trading at just 9.1x forward earnings — a compelling entry point for a 167-year-old company with accelerating retail momentum and global ATM leadership [1][5]. FY2026 guidance calls for $510-535M Adjusted EBITDA and $255-270M FCF, implying an approximately 12% FCF yield at the current market cap. The retail segment is the growth engine, growing 20-24% YoY for multiple consecutive quarters with European POS surging 170% and AI-powered self-checkout wins accelerating [1][2]. The company holds dominant global positioning alongside NCR Atleos in ATMs, operating in 100+ countries with deep institutional relationships. AI-focused C-suite appointments (CPTO Zosel, CIO Singh) signal a credible technology transformation strategy [3]. CEO Marquez ($99K), CFO Timko ($50K), and officer Myers ($100K) all purchased shares in May 2026. The Inspire Impact Score of 53 (ALIGNED) with 14 positive attributions and zero negatives reflects strong sustainability practices.</w:t>
      </w:r>
    </w:p>
    <w:p>
      <w:pPr>
        <w:spacing w:after="120"/>
      </w:pPr>
      <w:r>
        <w:rPr>
          <w:rFonts w:ascii="Calibri" w:hAnsi="Calibri"/>
          <w:b w:val="0"/>
          <w:color w:val="3A4A28"/>
          <w:sz w:val="20"/>
        </w:rPr>
        <w:t>The bear case centers on secular decline risk, elevated leverage, and thin margins. D/E has increased to 113.5% from 91.8% despite the post-bankruptcy restructuring, raising concerns about the deleveraging trajectory [5]. Revenue growth decelerated to just 1.7% in Q2 2026 as banking deployment timing delays offset retail strength, and the long-term trend toward digital payments and cashless transactions threatens the core ATM business [1]. GAAP profit margin of 2.87% reflects the commodity nature of hardware manufacturing, and even with margin expansion the business may not generate software-like returns. The stock has fallen 15% from $75.17 to $63.62 since the prior screen, and the 50-day SMA of $66.93 indicates continued negative momentum. Millstreet Capital's $22.1M share sale in June 2026 may signal smart-money exit from a post-restructuring position. Glassdoor ratings (3.5/5, 58% recommend) indicate organizational culture challenges that could constrain talent retention, and Amazon's 'just walk out' AI technology represents an emerging long-term threat to traditional self-checkout hardware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Retail segment revenue growing 20-24% YoY with European POS surging 170% and AI-powered self-checkout wins accelerating — retail could become the majority revenue driver as the company repositions away from secular-declining ATM hardware [1][2]</w:t>
      </w:r>
    </w:p>
    <w:p>
      <w:pPr>
        <w:spacing w:before="40" w:after="40"/>
        <w:ind w:left="283"/>
      </w:pPr>
      <w:r>
        <w:rPr>
          <w:rFonts w:ascii="Calibri" w:hAnsi="Calibri"/>
          <w:b/>
          <w:color w:val="4A6B25"/>
          <w:sz w:val="20"/>
        </w:rPr>
        <w:t xml:space="preserve">2. </w:t>
      </w:r>
      <w:r>
        <w:rPr>
          <w:rFonts w:ascii="Calibri" w:hAnsi="Calibri"/>
          <w:b w:val="0"/>
          <w:color w:val="3A4A28"/>
          <w:sz w:val="20"/>
        </w:rPr>
        <w:t>Forward PE of 9.1x with FY2026 FCF guidance of $255-270M implies approximately 12% FCF yield on a $2.16B market cap — significant valuation gap if execution on the back-half-weighted guidance materializes [1][5]</w:t>
      </w:r>
    </w:p>
    <w:p>
      <w:pPr>
        <w:spacing w:before="40" w:after="40"/>
        <w:ind w:left="283"/>
      </w:pPr>
      <w:r>
        <w:rPr>
          <w:rFonts w:ascii="Calibri" w:hAnsi="Calibri"/>
          <w:b/>
          <w:color w:val="4A6B25"/>
          <w:sz w:val="20"/>
        </w:rPr>
        <w:t xml:space="preserve">3. </w:t>
      </w:r>
      <w:r>
        <w:rPr>
          <w:rFonts w:ascii="Calibri" w:hAnsi="Calibri"/>
          <w:b w:val="0"/>
          <w:color w:val="3A4A28"/>
          <w:sz w:val="20"/>
        </w:rPr>
        <w:t>AI-focused C-suite appointments (CPTO Zosel, CIO Singh) position the company to embed AI across the DN Vynamic software platform and Allconnect data engine, potentially shifting the revenue mix from commodity hardware toward higher-margin recurring software/services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increased to 113.5% from 91.8% despite post-bankruptcy restructuring, and GAAP profit margin of 2.87% leaves minimal buffer — any revenue shortfall or margin compression on the back-half-weighted guidance ($3.86-3.94B revenue, 45%/55% H1/H2 split) could pressure the balance sheet [1][5]</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ATM and physical banking infrastructure as digital payments, mobile banking, and AI-powered financial services reduce demand — banking segment revenue growth has already slowed due to deployment timing delays while retail compensates [1][2]</w:t>
      </w:r>
    </w:p>
    <w:p>
      <w:pPr>
        <w:spacing w:before="40" w:after="40"/>
        <w:ind w:left="283"/>
      </w:pPr>
      <w:r>
        <w:rPr>
          <w:rFonts w:ascii="Calibri" w:hAnsi="Calibri"/>
          <w:b/>
          <w:color w:val="4A6B25"/>
          <w:sz w:val="20"/>
        </w:rPr>
        <w:t xml:space="preserve">3. </w:t>
      </w:r>
      <w:r>
        <w:rPr>
          <w:rFonts w:ascii="Calibri" w:hAnsi="Calibri"/>
          <w:b w:val="0"/>
          <w:color w:val="3A4A28"/>
          <w:sz w:val="20"/>
        </w:rPr>
        <w:t>Amazon-style checkout-free AI technology and evolving retail automation could displace traditional self-checkout hardware over the next decade, threatening the retail segment that now carries the growth thesis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Diebold Nixdorf's core business involves manufacturing and servicing physical ATMs, cash recyclers, and self-checkout kiosks — hardware that AI cannot directly replace [1]. Banks and retailers need physical transaction infrastructure, and the 100-country service network creates switching costs and physical-world barriers. However, the long-term secular trend toward digital payments and cashless transactions poses real substitution risk — AI-powered mobile banking could reduce ATM usage over time. AI-powered checkout-free stores (Amazon Go technology) represent a competitive threat to traditional self-checkout hardware [2]. AI Opportunity (1/1): Diebold Nixdorf generates AI-embedded revenue through its AI-powered self-checkout solutions, with retail growing approximately 24% in Q2 driven partly by AI-enhanced checkout wins [1][2]. The Allconnect data engine uses AI for predictive diagnostics and remote monitoring. CEO Marquez specifically cited CPTO Zosel's AI expertise as a strategic priority, and CIO Singh's remit includes generative AI integration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Diebold Nixdorf Q2 2026 Earnings Release (SEC 8-K) — Revenue $930.8M, retail +~24% YoY, Adj EBITDA +8% YoY with 80bps margin expansion, banking timing delays, FY2026 guidance reaffirmed, July 2026</w:t>
      </w:r>
    </w:p>
    <w:p>
      <w:pPr>
        <w:spacing w:before="20" w:after="20"/>
        <w:ind w:left="170"/>
      </w:pPr>
      <w:r>
        <w:rPr>
          <w:rFonts w:ascii="Calibri" w:hAnsi="Calibri"/>
          <w:b/>
          <w:color w:val="4A6B25"/>
          <w:sz w:val="15"/>
        </w:rPr>
        <w:t xml:space="preserve">2. </w:t>
      </w:r>
      <w:r>
        <w:rPr>
          <w:rFonts w:ascii="Calibri" w:hAnsi="Calibri"/>
          <w:b w:val="0"/>
          <w:color w:val="3A4A28"/>
          <w:sz w:val="17"/>
        </w:rPr>
        <w:t>Diebold Nixdorf Q1 2026 Earnings Release — Revenue $888M (+6% YoY), Adj EBITDA $99M (+14%), NA retail +70%, European POS +170%, FCF more than tripled YoY, April 2026</w:t>
      </w:r>
    </w:p>
    <w:p>
      <w:pPr>
        <w:spacing w:before="20" w:after="20"/>
        <w:ind w:left="170"/>
      </w:pPr>
      <w:r>
        <w:rPr>
          <w:rFonts w:ascii="Calibri" w:hAnsi="Calibri"/>
          <w:b/>
          <w:color w:val="4A6B25"/>
          <w:sz w:val="15"/>
        </w:rPr>
        <w:t xml:space="preserve">3. </w:t>
      </w:r>
      <w:r>
        <w:rPr>
          <w:rFonts w:ascii="Calibri" w:hAnsi="Calibri"/>
          <w:b w:val="0"/>
          <w:color w:val="3A4A28"/>
          <w:sz w:val="17"/>
        </w:rPr>
        <w:t>Diebold Nixdorf Leadership Appointments — CPTO Andy Zosel (AI/automation focus), CIO Raj Singh (GenAI/cloud), CEO Marquez's technology transformation strategy, 2025-2026</w:t>
      </w:r>
    </w:p>
    <w:p>
      <w:pPr>
        <w:spacing w:before="20" w:after="20"/>
        <w:ind w:left="170"/>
      </w:pPr>
      <w:r>
        <w:rPr>
          <w:rFonts w:ascii="Calibri" w:hAnsi="Calibri"/>
          <w:b/>
          <w:color w:val="4A6B25"/>
          <w:sz w:val="15"/>
        </w:rPr>
        <w:t xml:space="preserve">4. </w:t>
      </w:r>
      <w:r>
        <w:rPr>
          <w:rFonts w:ascii="Calibri" w:hAnsi="Calibri"/>
          <w:b w:val="0"/>
          <w:color w:val="3A4A28"/>
          <w:sz w:val="17"/>
        </w:rPr>
        <w:t>Diebold Nixdorf ESG and Sustainalytics — ESG risk management rated 'Strong', 1,100+ employees in ESG Impact projects, Paderborn solar facility, GRI Standards reporting,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DBD Key Statistics: Price $63.62, D/E 113.5%, ROE 10.9%, Profit Margin 2.87%, Forward PE 9.06, Avg Volume 264K, Market Cap $2.16B, Glassdoor 3.5/5,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