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DBRG</w:t>
      </w:r>
      <w:r>
        <w:rPr>
          <w:rFonts w:ascii="Calibri" w:hAnsi="Calibri"/>
          <w:b/>
          <w:color w:val="1A2010"/>
          <w:sz w:val="40"/>
        </w:rPr>
        <w:t xml:space="preserve">  DigitalBridge Group, Inc.</w:t>
      </w:r>
    </w:p>
    <w:p>
      <w:pPr>
        <w:spacing w:after="120"/>
      </w:pPr>
      <w:r>
        <w:rPr>
          <w:rFonts w:ascii="Calibri" w:hAnsi="Calibri"/>
          <w:b/>
          <w:color w:val="6E8450"/>
          <w:sz w:val="18"/>
        </w:rPr>
        <w:t>GROWTH SLEEVE · 2026-10-19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DigitalBridge is a leading global alternative asset manager dedicated exclusively to digital infrastructure, managing $40.2B in fee-earning equity under management (FEEUM) invested across data centers, cell towers, fiber networks, small cells, and edge infrastructure. FY2025 fee revenue grew 14% to $375M with FRE of $142M (+33%), and Q1 2026 fee revenue was $87.3M. Founded as Colony Capital in 1991, the company transformed into a pure-play digital infrastructure investor under CEO Marc Ganzi and is headquartered in Boca Raton, Florida. A proposed SoftBank acquisition is pending, limiting forward guidance disclosure.</w:t>
      </w:r>
    </w:p>
    <w:p>
      <w:r>
        <w:rPr>
          <w:rFonts w:ascii="Calibri" w:hAnsi="Calibri"/>
          <w:b/>
          <w:color w:val="6E8450"/>
          <w:sz w:val="18"/>
        </w:rPr>
        <w:t>303 Employees · https://www.digitalbridge.com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DigitalBridge executed one of the most dramatic corporate transformations in recent financial history — completely reinventing itself from Colony Capital (a diversified real estate company with hotels, healthcare facilities, and legacy assets) into a pure-play digital infrastructure asset manager under CEO Marc Ganzi [3][4]. FEEUM grew from near zero to $41B as the company shed every legacy business to focus exclusively on data centers, towers, and fiber. This is a textbook transformative pivot that redefined the company's identity and competitive positioning. AI Deployment (0/2): DigitalBridge manages infrastructure that enables AI (data centers, fiber) but does not deploy AI products or services itself. The company is an asset manager, not a technology operator. Market Share (1/2): DigitalBridge is a leading digital infrastructure-focused alternative asset manager with $40.2B FEEUM and AUM of $105.6B, but faces competition from Brookfield Infrastructure Partners, KKR, and other large alternative asset managers entering the digital infrastructure space [3]. Product Pipeline (0/2): The pending SoftBank acquisition has effectively frozen independent product pipeline announcements. No new fund launches or strategic initiatives were disclosed with Q2 2026 results, and the company did not host a conference call [1][2]. R&amp;D Intensity (0/1): Asset managers do not have traditional R&amp;D spend; investment capabilities are the product, and there is no publicly reported innovation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DigitalBridge's purpose — investing in digital infrastructure — is functional and transactional, describing what the company does rather than why it exists beyond generating returns for limited partners [4]. The website language emphasizes 'dedicated to investing in digital infrastructure' and 'creating value for investors,' which is a financial objective, not a purpose that invites sacrifice or describes a better future. Community Impact (1/2): DigitalBridge has a Responsible Investment Policy integrating ESG into investment decisions, committed its portfolio companies to net zero by 2030, and hired specialists in energy transition (Nicholas Beatty) [4][5]. These are meaningful but standard institutional investor practices rather than distinctive community investment. Employee Retention (0/2): With only 303 employees, DigitalBridge is a small team. Recent hires of Brent Mayo and Nicholas Beatty suggest growth, and Marc Ganzi's tenure since the Colony Capital transformation provides leadership continuity [4]. However, no specific retention data or cultural evidence is available for such a small organization. Insider Buying (0/2): No evidence of meaningful net insider buying by Marc Ganzi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DigitalBridge's infrastructure score is depressed by the Colony-to-DigitalBridge transformation distorting reported revenue metrics. D/E of 12.1% is exceptionally low (score 1.0), reflecting the asset-light management company model with $508M cash against $320M debt [1]. ROE of 10.2% is below the 15% target (score 0.68 at 2x weight). Profit margin of 54.3% is exceptional (score 1.0), reflecting the fee-based business model's high margins. Forward P/E of 40.0 scores 0.50, elevated due to the pending SoftBank transaction pricing. PEG of 3.06 is at the floor (score 0.0 at 2x weight). The critical drag is the 3-year revenue CAGR, which appears as -51% due to the intentional shedding of Colony Capital's legacy businesses — GAAP revenue fell from $608M (2022) to $71M (2025) as non-digital-infrastructure assets were sold [1][3]. This mechanically scores 0.0 (2x weight) but does not reflect the underlying fee business, which grew 14% in FY2025 to $375M. Daily dollar volume of $65.7M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DigitalBridge presents a paradox in Sinek's framework: the Colony-to-DigitalBridge transformation was an act of extraordinary existential flexibility and courage, but the company's purpose is fundamentally transactional — generating returns for limited partners through digital infrastructure investment. The pending SoftBank acquisition further reinforces the finite nature of the enterprise, as the company is being taken private for financial value rather than a cause. The leadership demonstrated remarkable strategic vision in pivoting to digital infrastructure before the AI boom, but this was investment thesis execution, not Just Cause pursuit.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DigitalBridge's purpose — investing in digital infrastructure that connects the world's digital economy — gestures toward a larger cause but is ultimately a financial objective wrapped in aspirational language [4]. The company exists to generate returns for limited partners, and while digital infrastructure enables important societal functions (connectivity, computing, data), DigitalBridge's relationship to that purpose is as a financial intermediary, not a builder. The pending SoftBank acquisition underscores the finite nature of the enterprise.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303 employees, DigitalBridge is too small for meaningful organizational culture assessment [4]. The company has experienced significant leadership turnover through the Colony-to-DigitalBridge transformation, and recent executive hires (Mayo, Beatty, Pryce) suggest continued team building rather than a stable, high-trust organization. No evidence of distinctive cultural practices, employee empowerment programs, or psychological safety measures.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DigitalBridge frames competition with Brookfield, KKR, or other infrastructure investors in terms of learning from their strengths. The competitive language is about fundraising scale, deal pipeline, and returns — standard financial metrics rather than an infinite game orientation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Colony Capital to DigitalBridge transformation is a textbook example of Sinek's existential flexibility — the company fundamentally reinvented itself, abandoning every legacy business (hotels, healthcare, industrial real estate) to concentrate exclusively on digital infrastructure [3][4]. This was not desperation — Colony Capital was a functioning business — but a deliberate strategic choice to align the company with the future of infrastructure investing. The pivot was completed before AI demand validated the thesis, making it genuinely forward-looking rather than reactive.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Colony Capital to DigitalBridge transformation is one of the most courageous corporate pivots in recent financial history — Marc Ganzi systematically dismantled a diversified real estate company, selling off profitable legacy businesses (hotels, healthcare facilities, industrial assets) to concentrate exclusively on digital infrastructure [3][4]. This required walking away from billions in established revenue, alienating some investors who preferred the diversified model, and betting the entire company on a thesis (AI-driven digital infrastructure demand) that wasn't consensus at the time. The transformation was completed years before the AI boom validated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DigitalBridge at $16.00 with a $3.0B market cap offers pure-play exposure to the AI infrastructure supercycle through a leading alternative asset manager with $40.2B FEEUM invested across data centers, towers, and fiber — the physical foundation of every AI workload [3][4]. Fee revenue grew 14% to $375M in FY2025 with FRE surging 33% to $142M, demonstrating the operating leverage of the fee-based model as institutional capital flows into AI infrastructure. The asset-light balance sheet ($508M cash, $320M debt, 12% D/E) and 54% profit margins reflect a premium business model. The Colony-to-DigitalBridge transformation was completed years before the AI boom validated the thesis, demonstrating prescient strategic positioning by CEO Marc Ganzi [3]. The net zero by 2030 portfolio commitment aligns with both ESG mandates and the growing institutional focus on sustainable infrastructure [5].</w:t>
      </w:r>
    </w:p>
    <w:p>
      <w:pPr>
        <w:spacing w:after="120"/>
      </w:pPr>
      <w:r>
        <w:rPr>
          <w:rFonts w:ascii="Calibri" w:hAnsi="Calibri"/>
          <w:b w:val="0"/>
          <w:color w:val="3A4A28"/>
          <w:sz w:val="20"/>
        </w:rPr>
        <w:t>The bear case is dominated by the pending SoftBank acquisition, which creates binary outcome risk and limits independent analysis of DigitalBridge's standalone value. Forward P/E of 40.0 and PEG of 3.06 reflect acquisition pricing rather than organic fundamentals, and the company declined to provide guidance or host an earnings call with Q2 2026 results because of the transaction [1][2]. FEEUM declined from $41.0B (Dec 2025) to $40.2B (June 2026), raising questions about whether the fundraising cycle has peaked. The 303-employee organization is dependent on a small number of key individuals, and Marc Ganzi's post-acquisition role is uncertain. GAAP revenue metrics are distorted by the Colony Capital transformation — reported revenue fell from $608M to $71M over three years — making fundamental analysis difficult with standard financial tools. If the SoftBank deal falls through, the stock could face significant downside as the acquisition premium unwinds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construction supercycle — hyperscalers are deploying $200B+ annually in data center capex, creating massive demand for exactly the infrastructure DigitalBridge invests in (data centers, fiber, towers, edge computing) [3][4]</w:t>
      </w:r>
    </w:p>
    <w:p>
      <w:pPr>
        <w:spacing w:before="40" w:after="40"/>
        <w:ind w:left="283"/>
      </w:pPr>
      <w:r>
        <w:rPr>
          <w:rFonts w:ascii="Calibri" w:hAnsi="Calibri"/>
          <w:b/>
          <w:color w:val="4A6B25"/>
          <w:sz w:val="20"/>
        </w:rPr>
        <w:t xml:space="preserve">2. </w:t>
      </w:r>
      <w:r>
        <w:rPr>
          <w:rFonts w:ascii="Calibri" w:hAnsi="Calibri"/>
          <w:b w:val="0"/>
          <w:color w:val="3A4A28"/>
          <w:sz w:val="20"/>
        </w:rPr>
        <w:t>Pending SoftBank acquisition provides downside protection at the offer price while the deal is live, with potential for SoftBank's deep pockets and AI ambitions to accelerate DigitalBridge's AUM growth post-close [2]</w:t>
      </w:r>
    </w:p>
    <w:p>
      <w:pPr>
        <w:spacing w:before="40" w:after="40"/>
        <w:ind w:left="283"/>
      </w:pPr>
      <w:r>
        <w:rPr>
          <w:rFonts w:ascii="Calibri" w:hAnsi="Calibri"/>
          <w:b/>
          <w:color w:val="4A6B25"/>
          <w:sz w:val="20"/>
        </w:rPr>
        <w:t xml:space="preserve">3. </w:t>
      </w:r>
      <w:r>
        <w:rPr>
          <w:rFonts w:ascii="Calibri" w:hAnsi="Calibri"/>
          <w:b w:val="0"/>
          <w:color w:val="3A4A28"/>
          <w:sz w:val="20"/>
        </w:rPr>
        <w:t>Energy transition infrastructure — hiring of Nicholas Beatty as Operating Partner for electrification positions DigitalBridge at the intersection of AI data center demand and grid modernization, opening a new investment vertical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SoftBank acquisition risk — the pending transaction limits transparency (no earnings calls, no guidance), and deal failure would likely trigger significant downside as the acquisition premium unwinds from the current stock price [1][2]</w:t>
      </w:r>
    </w:p>
    <w:p>
      <w:pPr>
        <w:spacing w:before="40" w:after="40"/>
        <w:ind w:left="283"/>
      </w:pPr>
      <w:r>
        <w:rPr>
          <w:rFonts w:ascii="Calibri" w:hAnsi="Calibri"/>
          <w:b/>
          <w:color w:val="4A6B25"/>
          <w:sz w:val="20"/>
        </w:rPr>
        <w:t xml:space="preserve">2. </w:t>
      </w:r>
      <w:r>
        <w:rPr>
          <w:rFonts w:ascii="Calibri" w:hAnsi="Calibri"/>
          <w:b w:val="0"/>
          <w:color w:val="3A4A28"/>
          <w:sz w:val="20"/>
        </w:rPr>
        <w:t>FEEUM declined from $41.0B (Dec 2025) to $40.2B (June 2026), potentially signaling a cooling fundraising environment for digital infrastructure as institutional investors face denominator effects and alternative deployment opportunities [1][2]</w:t>
      </w:r>
    </w:p>
    <w:p>
      <w:pPr>
        <w:spacing w:before="40" w:after="40"/>
        <w:ind w:left="283"/>
      </w:pPr>
      <w:r>
        <w:rPr>
          <w:rFonts w:ascii="Calibri" w:hAnsi="Calibri"/>
          <w:b/>
          <w:color w:val="4A6B25"/>
          <w:sz w:val="20"/>
        </w:rPr>
        <w:t xml:space="preserve">3. </w:t>
      </w:r>
      <w:r>
        <w:rPr>
          <w:rFonts w:ascii="Calibri" w:hAnsi="Calibri"/>
          <w:b w:val="0"/>
          <w:color w:val="3A4A28"/>
          <w:sz w:val="20"/>
        </w:rPr>
        <w:t>Key person risk — with only 303 employees, DigitalBridge is heavily dependent on Marc Ganzi and a small leadership team; the SoftBank acquisition introduces uncertainty about post-close management continuity and strategic direction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DigitalBridge IS the digital infrastructure that AI runs on — the company manages $40.2B of investments in data centers, cell towers, fiber networks, and edge computing facilities that are the physical foundation of every AI workload [3][4]. AI cannot disrupt DigitalBridge because AI literally creates demand for everything DigitalBridge invests in: more compute requires more data centers, more data transmission requires more fiber and cell towers, and edge AI deployment requires more edge infrastructure. The company is maximally immune to AI substitution — it would be like saying electricity disrupts the power grid. Marc Ganzi has positioned DigitalBridge at the nexus of AI-driven infrastructure demand, and the hiring of specialists in data center investment management (Brent Mayo) and electrification/energy transition (Nicholas Beatty) specifically to capitalize on AI data center growth confirms this positioning [4]. AI Opportunity (1/1): DigitalBridge's entire portfolio generates AI-related returns — data center investments directly serve hyperscale AI workloads, and FEEUM growth from $35.5B to $41.0B in FY2025 (+15%) was substantially driven by institutional capital flowing into AI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DigitalBridge Q1 2026 10-Q, Fee revenue $87.3M (-3% YoY due to catch-up fees in prior year), FEEUM $40.8B, Total revenue $72.2M,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DigitalBridge Q2 2026 10-Q, FEEUM $40.2B at June 30 2026, No earnings call or guidance due to pending SoftBank transaction, SEC Filing/StreetInsider August 2026</w:t>
      </w:r>
    </w:p>
    <w:p>
      <w:pPr>
        <w:spacing w:before="20" w:after="20"/>
        <w:ind w:left="170"/>
      </w:pPr>
      <w:r>
        <w:rPr>
          <w:rFonts w:ascii="Calibri" w:hAnsi="Calibri"/>
          <w:b/>
          <w:color w:val="4A6B25"/>
          <w:sz w:val="15"/>
        </w:rPr>
        <w:t xml:space="preserve">3. </w:t>
      </w:r>
      <w:r>
        <w:rPr>
          <w:rFonts w:ascii="Calibri" w:hAnsi="Calibri"/>
          <w:b w:val="0"/>
          <w:color w:val="3A4A28"/>
          <w:sz w:val="17"/>
        </w:rPr>
        <w:t>DigitalBridge 2026 Proxy (DEF 14A), FY2025: FEEUM grew 15% to $41.0B, Fee revenue +14% to $375M, FRE +33% to $142M, Colony-to-DigitalBridge transformation history, SEC Filing 2026</w:t>
      </w:r>
    </w:p>
    <w:p>
      <w:pPr>
        <w:spacing w:before="20" w:after="20"/>
        <w:ind w:left="170"/>
      </w:pPr>
      <w:r>
        <w:rPr>
          <w:rFonts w:ascii="Calibri" w:hAnsi="Calibri"/>
          <w:b/>
          <w:color w:val="4A6B25"/>
          <w:sz w:val="15"/>
        </w:rPr>
        <w:t xml:space="preserve">4. </w:t>
      </w:r>
      <w:r>
        <w:rPr>
          <w:rFonts w:ascii="Calibri" w:hAnsi="Calibri"/>
          <w:b w:val="0"/>
          <w:color w:val="3A4A28"/>
          <w:sz w:val="17"/>
        </w:rPr>
        <w:t>DigitalBridge Leadership — Marc Ganzi CEO, Brent Mayo (data center investment) and Nicholas Beatty (electrification/energy transition) hired June 2026, Wendy Pryce (stabilized data center strategies), BusinessWire/Simply Wall St June 2026</w:t>
      </w:r>
    </w:p>
    <w:p>
      <w:pPr>
        <w:spacing w:before="20" w:after="20"/>
        <w:ind w:left="170"/>
      </w:pPr>
      <w:r>
        <w:rPr>
          <w:rFonts w:ascii="Calibri" w:hAnsi="Calibri"/>
          <w:b/>
          <w:color w:val="4A6B25"/>
          <w:sz w:val="15"/>
        </w:rPr>
        <w:t xml:space="preserve">5. </w:t>
      </w:r>
      <w:r>
        <w:rPr>
          <w:rFonts w:ascii="Calibri" w:hAnsi="Calibri"/>
          <w:b w:val="0"/>
          <w:color w:val="3A4A28"/>
          <w:sz w:val="17"/>
        </w:rPr>
        <w:t>DigitalBridge Responsible Investment Policy — Net zero by 2030 commitment for portfolio companies, ESG integration in investment process, priority issues include energy efficiency and GHG emissions, digitalbridge.com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