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DB</w:t>
      </w:r>
      <w:r>
        <w:rPr>
          <w:rFonts w:ascii="Calibri" w:hAnsi="Calibri"/>
          <w:b/>
          <w:color w:val="1A2010"/>
          <w:sz w:val="40"/>
        </w:rPr>
        <w:t xml:space="preserve">  Deutsche Bank Aktiengesellschaft</w:t>
      </w:r>
    </w:p>
    <w:p>
      <w:pPr>
        <w:spacing w:after="120"/>
      </w:pPr>
      <w:r>
        <w:rPr>
          <w:rFonts w:ascii="Calibri" w:hAnsi="Calibri"/>
          <w:b/>
          <w:color w:val="6E8450"/>
          <w:sz w:val="18"/>
        </w:rPr>
        <w:t>DIVIDEND SLEEVE · 2026-09-02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Germany</w:t>
      </w:r>
    </w:p>
    <w:p>
      <w:pPr>
        <w:spacing w:after="80"/>
      </w:pPr>
      <w:r>
        <w:rPr>
          <w:rFonts w:ascii="Calibri" w:hAnsi="Calibri"/>
          <w:b w:val="0"/>
          <w:color w:val="3A4A28"/>
          <w:sz w:val="20"/>
        </w:rPr>
        <w:t>Deutsche Bank is one of Europe's largest financial institutions, operating through four divisions: Investment Bank, Corporate Bank, Private Bank, and Asset Management (DWS). Under CEO Christian Sewing's multi-year restructuring, the bank reported record H1 2026 profit of EUR 4.1B on revenues of EUR 17.2B, marking its 20th consecutive quarter of revenue growth. Q2 2026 revenue rose 9% YoY to EUR 8.5B, with the Investment Bank leading at +18.5%. Full-year 2026 revenue target is approximately EUR 33B.</w:t>
      </w:r>
    </w:p>
    <w:p>
      <w:r>
        <w:rPr>
          <w:rFonts w:ascii="Calibri" w:hAnsi="Calibri"/>
          <w:b/>
          <w:color w:val="6E8450"/>
          <w:sz w:val="18"/>
        </w:rPr>
        <w:t>87,000 Employees · https://www.db.com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Deutsche Bank's multi-year transformation under CEO Christian Sewing represents a significant strategic pivot — the bank exited unprofitable equities trading, slashed costs, and rebuilt its investment banking franchise, delivering 20 consecutive quarters of revenue growth and record H1 2026 profit of EUR 4.1B from what was a near-failed institution in 2019 [1]. This turnaround has fundamentally redefined the bank's financial profile. AI Deployment (1/2): CTO Bernd Leukert has stated that AI will influence 30-40% of roles at the bank, and Deutsche Bank is deploying AI for internal process automation, compliance, and client analytics [2]. However, no specific quantified savings or AI-powered client-facing products with measurable revenue contribution have been reported. Market Share (1/2): Deutsche Bank is a meaningful player in European investment banking and private banking, with Q2 2026 Investment Bank revenues of EUR 3.19B (+18.5% YoY), but is not a global category leader — it trails JPMorgan, Goldman Sachs, and Morgan Stanley in most product categories [1]. Product Pipeline (0/2): No specific next-gen product launches with named dates and revenue visibility. R&amp;D Intensity (0/1): Banks do not report R&amp;D spending in the traditional sense; technology spending is folded into operating expenses without separate disclosure.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Deutsche Bank's stated purpose involves being a bank 'for the long run' and partnering with clients for sustainable growth — clear but not distinctive, interchangeable with any large global bank and lacking a transformative vision beyond good banking. The sustainability finance commitment (EUR 471B cumulative since 2020) provides some purpose differentiation but reads as strategic positioning rather than a genuine cause [3]. Community Impact (0/2): While Deutsche Bank has committed EUR 471B to sustainable financing cumulatively, this is core business activity generating fees and interest income rather than philanthropy. No distinctive charitable foundation, employee volunteer, or community investment programs identified beyond standard corporate citizenship [3]. Employee Retention (0/2): Decision-making is described as 'slow, with layered approvals and process-heavy ways of working that can limit momentum and autonomy' [2]. The bank employs ~87,000 people but no specific retention or tenure data was identified, and investment banking inherently has high turnover. Insider Buying (0/2): No significant insider buying by Deutsche Bank executives identified in the research period. Institutional investors have been net sellers, with a 1.29% stake sale reported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D/E excluded as null due to bank balance sheet structure (deposits and interbank liabilities make traditional D/E meaningless for banks). Forward P/E of 8.74 is a standout, scoring 1.0 and well below the 20x target — reflecting the persistent European bank valuation discount despite record profitability [4]. Profit margin of 22.81% exceeds the 20% target, scoring 1.0 [4]. Revenue growth YoY of 9% is just below the 10% target, scoring 0.967. Revenue growth 5yr CAGR of approximately 6% (from ~EUR 25B in 2021 to ~EUR 33B in 2026) scores 0.733 against the 10% target. ROE of 8.89% is below the 15% target, scoring 0.593 — a persistent weakness for European banks versus US peers. Payout ratio of approximately 24% scores 1.0 (well below the 40% target). The dividend profile shows rapid growth: 5yr dividend growth CAGR of 32.55% scores 1.0 with 2x weight, reflecting the dividend rebuild from zero to EUR 0.68/share [4]. Consecutive years paid of 5 scores 0.5 (2x weight), and consecutive years growth of 3 scores 0.3. The stock clears the liquidity floor at ~$125M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Deutsche Bank demonstrates finite game characteristics moderated by CEO Sewing's genuine restructuring courage. The bank's history includes multiple near-collapses, strategic resets, and existential crises (2015-2019 period, Postbank integration failures, money laundering scandals), suggesting that purpose has been reactive rather than consistent. Sewing's turnaround has been impressive but is fundamentally a survival story — the bank is playing to survive and recover rather than advancing an enduring Just Cause. The slow, bureaucratic decision-making culture and high investment banking turnover reflect organizational dynamics oriented toward quarterly performance rather than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Deutsche Bank's articulated purpose around sustainable finance and being a reliable long-term partner is corporate boilerplate that has not driven distinctive strategic decisions [3]. The bank's history of multiple near-collapses, money laundering scandals (Russian mirror trades, Danske Bank), and strategic resets every few years suggests that purpose is reactive rather than consistent — leadership manages crises rather than advancing a vision of a better financial system. The EUR 471B sustainable financing commitment is notable but functions as a business strategy rather than a cause that people sacrifice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Deutsche Bank employs ~87,000 people with reasonable organizational stability under Sewing's leadership since 2018. The bank has invested in diversity and inclusion programs and emphasizes cultural values [2]. However, decision-making is described as 'slow, with layered approvals and process-heavy ways of working' that limit autonomy and momentum — typical of large European banks but antithetical to the psychological safety and empowerment that Sinek prescribes [2]. Investment banking inherently has high turnover, and the bank's history of restructuring-driven layoffs (thousands of job cuts during the 2019-2020 transformation) erodes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Deutsche Bank's competitive language focuses on achieving revenue targets, gaining market share, and narrowing the gap with US banks (JPMorgan, Goldman Sachs) — framed as 'catching up' rather than learning from rivals' strengths. The bank's AI research team published warnings about industry-wide AI risks, but this reflects analysis capability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Deutsche Bank's exit from equities trading and strategic restructuring under Sewing represented a willingness to abandon profitable business lines and fundamentally reshape the bank's identity — from aspiring global universal bank to focused European champion [1]. This was a genuine strategic pivot that required walking away from billions in revenue. However, the restructuring was driven by near-existential crisis (the bank's share price hit EUR 5.77 in 2019) and regulatory pressure rather than a cause-driven choice to pursue a different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Sewing made genuinely difficult decisions — exiting global equities trading (a high-prestige business with thousands of employees), cutting ~18,000 positions, and investing in technology transformation during a period when the bank's survival was in question [1]. The decision to raise the dividend aggressively from zero to EUR 0.68/share while also launching the first-ever buyback from current year earnings signals confidence in the restructuring's durability [1]. However, these decisions were largely forced by the bank's precarious financial position rather than representing a proactive choice of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Deutsche Bank at 8.74x forward earnings is a restructuring success story delivering record profitability — H1 2026 post-tax profit of EUR 4.1B, revenue of EUR 17.2B on track for the EUR 33B full-year target, and the 20th consecutive quarter of revenue growth demonstrate that CEO Sewing's transformation is durable [1]. The Investment Bank led with EUR 3.19B in Q2 revenue (+18.5% YoY), while the Private Bank (EUR 2.57B, +8.2%) and Asset Management (EUR 756M, +4.3%) contributed diversified growth. The dividend rebuild is compelling: 5yr dividend growth CAGR of 32.6% from zero to EUR 0.68/share, with the first-ever buyback from current year earnings signaling capital return acceleration [1]. The payout ratio of only ~24% leaves substantial room for dividend increases. Forward P/E of 8.74 reflects the European bank valuation discount that could narrow as profitability proves sustainable.</w:t>
      </w:r>
    </w:p>
    <w:p>
      <w:pPr>
        <w:spacing w:after="120"/>
      </w:pPr>
      <w:r>
        <w:rPr>
          <w:rFonts w:ascii="Calibri" w:hAnsi="Calibri"/>
          <w:b w:val="0"/>
          <w:color w:val="3A4A28"/>
          <w:sz w:val="20"/>
        </w:rPr>
        <w:t>The bear case centers on structural ROE limitations, European bank discount persistence, and regulatory/legal overhang. ROE of 8.89% remains well below the 15% target and far behind US peers like JPMorgan (18%+), reflecting the structural challenge of European banking — negative interest rate legacy, fragmented EU banking market, and heavy regulatory burden [4]. The 5yr revenue CAGR of only 6% suggests that the 9% current growth rate may not represent a new structural trajectory. The European bank valuation discount (8.74x forward vs US banks at 12-15x) has persisted for over a decade and may be permanent rather than a 'catch-up' opportunity. Deutsche Bank's history of regulatory fines, money laundering investigations, and compliance failures creates persistent legal tail risk that could erode capital at any point. CTO Leukert's warning that 30-40% of roles will be influenced by AI implies significant restructuring costs ahead even as profitability improves [2]. The Inspire Impact Score of -67 (MISALIGNED) with negative attributions for Abortion Activism and LGBT Activism will limit allocation for faith-based investors despite the attractive valuation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target of ~EUR 33B with record H1 profit providing a clear path to further dividend increases and share buyback expansion — the first-ever buyback from current year earnings signals a new phase of capital return [1]</w:t>
      </w:r>
    </w:p>
    <w:p>
      <w:pPr>
        <w:spacing w:before="40" w:after="40"/>
        <w:ind w:left="283"/>
      </w:pPr>
      <w:r>
        <w:rPr>
          <w:rFonts w:ascii="Calibri" w:hAnsi="Calibri"/>
          <w:b/>
          <w:color w:val="4A6B25"/>
          <w:sz w:val="20"/>
        </w:rPr>
        <w:t xml:space="preserve">2. </w:t>
      </w:r>
      <w:r>
        <w:rPr>
          <w:rFonts w:ascii="Calibri" w:hAnsi="Calibri"/>
          <w:b w:val="0"/>
          <w:color w:val="3A4A28"/>
          <w:sz w:val="20"/>
        </w:rPr>
        <w:t>Investment Bank revenue growth of 18.5% YoY in Q2 driven by fixed income and origination strength, with potential for further gains if capital markets activity accelerates in H2 2026 [1]</w:t>
      </w:r>
    </w:p>
    <w:p>
      <w:pPr>
        <w:spacing w:before="40" w:after="40"/>
        <w:ind w:left="283"/>
      </w:pPr>
      <w:r>
        <w:rPr>
          <w:rFonts w:ascii="Calibri" w:hAnsi="Calibri"/>
          <w:b/>
          <w:color w:val="4A6B25"/>
          <w:sz w:val="20"/>
        </w:rPr>
        <w:t xml:space="preserve">3. </w:t>
      </w:r>
      <w:r>
        <w:rPr>
          <w:rFonts w:ascii="Calibri" w:hAnsi="Calibri"/>
          <w:b w:val="0"/>
          <w:color w:val="3A4A28"/>
          <w:sz w:val="20"/>
        </w:rPr>
        <w:t>Narrowing of the European bank valuation discount if Deutsche Bank sustains 8%+ ROE — any re-rating from 8.74x to 10-12x forward P/E would represent 15-37% upside from current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ROE ceiling of ~9% versus the 15% target and US bank peers at 15-20% — the European banking environment (fragmented market, regulatory burden, negative rate legacy) may permanently cap returns and justify the valuation discount [4]</w:t>
      </w:r>
    </w:p>
    <w:p>
      <w:pPr>
        <w:spacing w:before="40" w:after="40"/>
        <w:ind w:left="283"/>
      </w:pPr>
      <w:r>
        <w:rPr>
          <w:rFonts w:ascii="Calibri" w:hAnsi="Calibri"/>
          <w:b/>
          <w:color w:val="4A6B25"/>
          <w:sz w:val="20"/>
        </w:rPr>
        <w:t xml:space="preserve">2. </w:t>
      </w:r>
      <w:r>
        <w:rPr>
          <w:rFonts w:ascii="Calibri" w:hAnsi="Calibri"/>
          <w:b w:val="0"/>
          <w:color w:val="3A4A28"/>
          <w:sz w:val="20"/>
        </w:rPr>
        <w:t>Legal and regulatory tail risk from Deutsche Bank's history of compliance failures — any new investigation, fine, or settlement related to money laundering, sanctions, or market manipulation could consume capital and reset the restructuring narrative [3]</w:t>
      </w:r>
    </w:p>
    <w:p>
      <w:pPr>
        <w:spacing w:before="40" w:after="40"/>
        <w:ind w:left="283"/>
      </w:pPr>
      <w:r>
        <w:rPr>
          <w:rFonts w:ascii="Calibri" w:hAnsi="Calibri"/>
          <w:b/>
          <w:color w:val="4A6B25"/>
          <w:sz w:val="20"/>
        </w:rPr>
        <w:t xml:space="preserve">3. </w:t>
      </w:r>
      <w:r>
        <w:rPr>
          <w:rFonts w:ascii="Calibri" w:hAnsi="Calibri"/>
          <w:b w:val="0"/>
          <w:color w:val="3A4A28"/>
          <w:sz w:val="20"/>
        </w:rPr>
        <w:t>AI-driven workforce restructuring costs — CTO Leukert's statement that 30-40% of roles will be influenced by AI implies significant upcoming restructuring charges that could offset profitability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Deutsche Bank's core business has meaningful defensive moats against AI disruption — banking operates under extensive regulatory requirements (BaFin, ECB, SEC), which create compliance complexity that AI tools cannot navigate without human oversight [2]. The Investment Bank's advisory and origination businesses are relationship-driven, requiring human judgment, institutional trust, and negotiation skills. The Private Bank's wealth management relies on personal client relationships. However, AI creates real substitution risk for significant portions of the bank's operations — trading, risk analytics, compliance monitoring, and routine client servicing are all functions where AI tools are actively replacing headcount across the industry. CTO Leukert's acknowledgment that 30-40% of roles will be 'influenced' by AI signals management awareness that AI will reshape the bank's workforce structure [2]. Deutsche Bank itself has published research warning of a 'perilous AI crossroad in 2026' with growing distrust and dislocation risks [2]. AI Opportunity (0/1): Deutsche Bank is deploying AI internally for process automation but does not generate quantifiable revenue from AI products or services sold to clients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Deutsche Bank Q2 2026 Earnings — Record H1 Profit EUR 4.1B, Revenue EUR 8.5B (+9% YoY), Investment Bank +18.5%, 20th Consecutive Revenue Growth Quarter, First Buyback from Current Year Earnings — Investing.com, Yahoo Finance, BigGo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Deutsche Bank AI &amp; Technology Strategy — CTO Bernd Leukert, AI to Influence 30-40% of Roles, 'Perilous AI Crossroad in 2026' Warning, Slow Decision-Making Culture — BusinessWorld, Fortune, AICerts, Built In, 2026</w:t>
      </w:r>
    </w:p>
    <w:p>
      <w:pPr>
        <w:spacing w:before="20" w:after="20"/>
        <w:ind w:left="170"/>
      </w:pPr>
      <w:r>
        <w:rPr>
          <w:rFonts w:ascii="Calibri" w:hAnsi="Calibri"/>
          <w:b/>
          <w:color w:val="4A6B25"/>
          <w:sz w:val="15"/>
        </w:rPr>
        <w:t xml:space="preserve">3. </w:t>
      </w:r>
      <w:r>
        <w:rPr>
          <w:rFonts w:ascii="Calibri" w:hAnsi="Calibri"/>
          <w:b w:val="0"/>
          <w:color w:val="3A4A28"/>
          <w:sz w:val="17"/>
        </w:rPr>
        <w:t>Deutsche Bank ESG &amp; Governance — MSCI Rating A, EUR 471B Sustainable Financing Cumulative, ESG Investments Framework Updated 2026, Inspire Impact Score -67 — DB Investor Relations, KnowESG,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Nasdaq — DB Key Statistics: Forward P/E 8.74, PE 9.39, PEG 1.87, ROE 8.89%, Profit Margin 22.81%, Dividend Yield 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