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DCH</w:t>
      </w:r>
      <w:r>
        <w:rPr>
          <w:rFonts w:ascii="Calibri" w:hAnsi="Calibri"/>
          <w:b/>
          <w:color w:val="1A2010"/>
          <w:sz w:val="40"/>
        </w:rPr>
        <w:t xml:space="preserve">  Dauch Corporation</w:t>
      </w:r>
    </w:p>
    <w:p>
      <w:pPr>
        <w:spacing w:after="120"/>
      </w:pPr>
      <w:r>
        <w:rPr>
          <w:rFonts w:ascii="Calibri" w:hAnsi="Calibri"/>
          <w:b/>
          <w:color w:val="6E8450"/>
          <w:sz w:val="18"/>
        </w:rPr>
        <w:t>GROWTH SLEEVE · 2026-10-15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Parts · NYQ · United States</w:t>
      </w:r>
    </w:p>
    <w:p>
      <w:pPr>
        <w:spacing w:after="80"/>
      </w:pPr>
      <w:r>
        <w:rPr>
          <w:rFonts w:ascii="Calibri" w:hAnsi="Calibri"/>
          <w:b w:val="0"/>
          <w:color w:val="3A4A28"/>
          <w:sz w:val="20"/>
        </w:rPr>
        <w:t>Dauch Corporation (formerly American Axle &amp; Manufacturing, rebranded January 2026) designs, engineers, and manufactures driveline and metal forming technologies for electric, hybrid, and internal combustion vehicles. Following the transformational acquisition of Dowlais Group (GKN Automotive and GKN Powder Metallurgy) completed February 2026, Dauch became one of the world's largest automotive driveline suppliers with $10.6-10.8B in guided 2026 revenue across 50+ countries. Q2 2026 revenue reached $2.96B (+92.4% YoY from acquisition) with adjusted EPS of $0.32. Dual-listed on NYSE and London Stock Exchange. Headquartered in Detroit, Michigan.</w:t>
      </w:r>
    </w:p>
    <w:p>
      <w:r>
        <w:rPr>
          <w:rFonts w:ascii="Calibri" w:hAnsi="Calibri"/>
          <w:b/>
          <w:color w:val="6E8450"/>
          <w:sz w:val="18"/>
        </w:rPr>
        <w:t>50,000 Employees · https://www.dauch.com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Dowlais/GKN Automotive acquisition completed February 2026 was a transformative move that roughly doubled revenue to $10.6-10.8B guided and diversified Dauch from a GM-dependent North American driveline supplier to a global powertrain leader with electric drive unit capabilities across 50+ countries [1]. Q2 2026 delivered $2.96B revenue with synergies ahead of plan. AI Deployment (0/2): No evidence of AI-powered products shipping to customers or quantified AI-driven cost savings. A job posting mentions applying AI/ML and Industry 4.0 to manufacturing, but no products or quantified savings have been announced [2]. Market Share (1/2): Post-Dowlais, Dauch is a top-tier global driveline supplier, but competes against larger Tier 1 suppliers like Dana, BorgWarner, and ZF for OEM platform awards without defining or leading a category [1]. Product Pipeline (1/2): Dauch is developing next-generation electric drive units (eDrive) leveraging GKN Automotive's technology for multiple OEM customers, but specific product names, launch dates, and revenue visibility remain vague. R&amp;D Intensity (1/1): R&amp;D spending is above average for auto parts as Dauch invests in electrification, lightweighting, and advanced driveline technologies through the combined AAM and GKN engineering capabilities.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Dauch's purpose centers on 'empowering global Associates to perform in every moment with a focus on integrity, teamwork, and excellence' and 'innovative technology leadership focused on electrification, lightweighting, efficiency and performance' [2]. The renaming from AAM to Dauch Corporation reflects deep personal commitment from the founding family. Clear and industry-relevant but not transformative. Community Impact (1/2): The combined entity published 2025 Sustainability Reports (April 2026) with progress on environmental goals, but no standout charitable programs with specific dollar amounts were identified post-rebrand [3]. Employee Retention (1/2): CEO David C. Dauch has over 40 years in automotive and has led the company since 2013, with his father co-founding the company in 1994. This family leadership continuity across three decades is notable, with new CFO Nathan Iles and the leadership realignment signaling internal promotion culture [2]. Insider Buying (0/2): No evidence of meaningful net insider buying transactions in the last 12 months; CEO Dauch maintains significant equity holdings from compensation but no open-market purchases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The Dowlais acquisition loaded the balance sheet with D/E of 343%, well above the 300% floor (score 0) [1]. ROE of -15.0% is below the 0% floor (score 0, 2x weight), reflecting acquisition-related charges, integration costs, and elevated interest expense on $5.2B total debt [3]. Revenue grew 92.4% YoY (score 1.0) entirely from the acquisition, and the 5-year CAGR of approximately 10% hits the target (score 1.0, 2x weight) combining pre-acquisition organic growth and the Dowlais combination. Forward P/E of 4.60 is deeply below the 20 target (score 1.0), reflecting market skepticism about earnings quality [3]. Profit margin of -2.0% is below the 0% floor (score 0). PEG ratio of 0.43 is well below the 1.0 target (score 1.0, 2x weight), pricing in significant expected earnings normalization from GAAP losses to $1.13 forward EPS. Weighted sum 6.0/10 = 6.0 rounds to 6. Daily dollar volume of $17.7M clears the liquidity floor. First-half 2026 saw sales climb to $5.33B but net losses of $99.3M from acquisition accounting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Dauch demonstrates mixed infinite game characteristics. The Dowlais acquisition represents a bold long-term bet on becoming a global driveline leader — CEO David Dauch bet the company on scale and electrification capabilities, accepting $5.2B in debt and near-term GAAP losses for long-term positioning. The family-founded company's renaming to Dauch Corporation signals generational commitment. However, the heavy debt load creates finite pressure to deliver quarterly synergy targets, and the company's purpose remains functional rather than inspiring.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Dauch's tagline 'Built to Perform' and mission around 'empowering global Associates' with 'innovative technology leadership' is operational rather than aspirational [2]. The company exists to manufacture driveline components — there is no articulated vision of a better future beyond operational excellence. The Dowlais acquisition signals ambition to lead the electrification transition, but this is competitive strategy, not a cause that inspires sacrifice. The family renaming suggests personal legacy commitment but doesn't elevate the purpose beyond industry positioning.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David Dauch's 30+ year tenure provides leadership continuity, and the planned leadership realignment (promoting Nathan Iles as CFO, Christopher May as EVP) reflects internal development culture [2]. The Dowlais acquisition required cross-cultural trust integration. However, combining approximately 32,000 Dowlais employees with 18,000 legacy AAM employees across different cultures (US and UK/European) during restructuring and synergy-driven cost cuts creates inherent trust challenges. No specific workforce retention or satisfaction data available for the post-acquisition combined entity.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The Dowlais acquisition itself demonstrates recognition that GKN Automotive's strengths in eDrive technology and global diversification were capabilities Dauch needed to acquire rather than build from scratch. Management's commentary focuses on combining complementary strengths — AAM's North American driveline expertise with GKN's European eDrive technology and global footprint — rather than destroying competitors [1][2]. This reflects a learning orientation toward competitive dynamics.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Dowlais acquisition is a significant strategic pivot — Dauch evolved from a GM-dependent North American driveline supplier to a diversified global powertrain company with electric drive capabilities across 50+ countries [1]. The company renamed itself from AAM to Dauch Corporation, signaling a new identity. This represents meaningful business model evolution, though it was an adjacent acquisition rather than a fundamental reinvention of what the company does.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David Dauch's decision to acquire Dowlais/GKN was genuinely courageous — the deal roughly tripled the company's debt to $5.2B, produces near-term GAAP losses (H1 2026 net loss of $99.3M), and required betting the company's future on successful integration during an uncertain automotive cycle [1]. Dauch put his family's legacy on the line by renaming the company. However, the heavy debt creates finite pressure to deliver synergies quickly, and the stock has declined 18% from $6.35 to $5.19 since August, testing market patience.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Dauch's transformational Dowlais/GKN acquisition creates a global driveline powerhouse with $10.6-10.8B in 2026 guided revenue across 50+ countries. Q2 2026 delivered $2.96B revenue with adjusted EPS of $0.32 (beating consensus of $0.14), and synergies are tracking ahead of the $50-75M year-one plan [1]. At just 4.60x forward earnings ($1.13 forward EPS) and $5.19/share, the stock prices in maximum execution risk but offers substantial upside if integration succeeds — forward EPS implies the stock trades at less than 5x normalized earnings. The physical driveline business is structurally protected from AI disruption, and the electrification transition increases driveline content and complexity per vehicle. PEG of 0.43 reflects deeply discounted valuation relative to expected earnings recovery [3].</w:t>
      </w:r>
    </w:p>
    <w:p>
      <w:pPr>
        <w:spacing w:after="120"/>
      </w:pPr>
      <w:r>
        <w:rPr>
          <w:rFonts w:ascii="Calibri" w:hAnsi="Calibri"/>
          <w:b w:val="0"/>
          <w:color w:val="3A4A28"/>
          <w:sz w:val="20"/>
        </w:rPr>
        <w:t>The bear case centers on extreme balance sheet leverage and persistent GAAP losses. With D/E of 343% and $5.2B in total debt against $884M cash, Dauch has minimal margin for error in the integration [1][3]. First-half 2026 delivered $5.33B in revenue but a $99.3M net loss, with ROE at -15% reflecting acquisition accounting, elevated interest expense, and restructuring charges. The stock has declined 18% since August from $6.35 to $5.19 as the market weighs integration execution risk. The automotive industry faces cyclical headwinds including tariff uncertainty, potential EV adoption slowdowns, and OEM production cuts that could stress the leveraged balance sheet. Pre-acquisition organic revenue growth was flat to declining ($5.7B in 2025 vs $5.8B in 2022), suggesting the standalone business had limited growth prospects — the acquisition was existentially necessary, not optional. Integration of 50,000+ employees across US and UK/European operations involves cultural, operational, and technology harmonization risk that will test management for years.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Synergy realization ahead of plan — $50-75M in year-one synergies tracking to exceed initial targets, with adjusted EBITDA guidance implying ~13% margins competitive with Tier 1 peers as integration costs roll off [1]</w:t>
      </w:r>
    </w:p>
    <w:p>
      <w:pPr>
        <w:spacing w:before="40" w:after="40"/>
        <w:ind w:left="283"/>
      </w:pPr>
      <w:r>
        <w:rPr>
          <w:rFonts w:ascii="Calibri" w:hAnsi="Calibri"/>
          <w:b/>
          <w:color w:val="4A6B25"/>
          <w:sz w:val="20"/>
        </w:rPr>
        <w:t xml:space="preserve">2. </w:t>
      </w:r>
      <w:r>
        <w:rPr>
          <w:rFonts w:ascii="Calibri" w:hAnsi="Calibri"/>
          <w:b w:val="0"/>
          <w:color w:val="3A4A28"/>
          <w:sz w:val="20"/>
        </w:rPr>
        <w:t>Electric drive unit (eDrive) platform ramp leveraging GKN Automotive's leading eDrive technology across multiple OEM customers as EV adoption accelerates and driveline content per vehicle increases [2]</w:t>
      </w:r>
    </w:p>
    <w:p>
      <w:pPr>
        <w:spacing w:before="40" w:after="40"/>
        <w:ind w:left="283"/>
      </w:pPr>
      <w:r>
        <w:rPr>
          <w:rFonts w:ascii="Calibri" w:hAnsi="Calibri"/>
          <w:b/>
          <w:color w:val="4A6B25"/>
          <w:sz w:val="20"/>
        </w:rPr>
        <w:t xml:space="preserve">3. </w:t>
      </w:r>
      <w:r>
        <w:rPr>
          <w:rFonts w:ascii="Calibri" w:hAnsi="Calibri"/>
          <w:b w:val="0"/>
          <w:color w:val="3A4A28"/>
          <w:sz w:val="20"/>
        </w:rPr>
        <w:t>Extreme valuation discount at 4.60x forward earnings and PEG of 0.43 creates significant re-rating potential — every $100M in debt paydown from guided $235-325M adjusted free cash flow meaningfully reduces interest burden on the $5.2B debt stack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343% and $5.2B debt creates existential risk in a cyclical downturn — if vehicle production declines 10-15% or OEM program delays reduce revenue, debt service capacity could be severely strained with only $884M in cash [1][3]</w:t>
      </w:r>
    </w:p>
    <w:p>
      <w:pPr>
        <w:spacing w:before="40" w:after="40"/>
        <w:ind w:left="283"/>
      </w:pPr>
      <w:r>
        <w:rPr>
          <w:rFonts w:ascii="Calibri" w:hAnsi="Calibri"/>
          <w:b/>
          <w:color w:val="4A6B25"/>
          <w:sz w:val="20"/>
        </w:rPr>
        <w:t xml:space="preserve">2. </w:t>
      </w:r>
      <w:r>
        <w:rPr>
          <w:rFonts w:ascii="Calibri" w:hAnsi="Calibri"/>
          <w:b w:val="0"/>
          <w:color w:val="3A4A28"/>
          <w:sz w:val="20"/>
        </w:rPr>
        <w:t>First-half 2026 net loss of $99.3M despite $5.33B revenue demonstrates that GAAP profitability remains elusive post-acquisition, with ROE of -15% reflecting the true cost of integration, interest, and restructuring [1]</w:t>
      </w:r>
    </w:p>
    <w:p>
      <w:pPr>
        <w:spacing w:before="40" w:after="40"/>
        <w:ind w:left="283"/>
      </w:pPr>
      <w:r>
        <w:rPr>
          <w:rFonts w:ascii="Calibri" w:hAnsi="Calibri"/>
          <w:b/>
          <w:color w:val="4A6B25"/>
          <w:sz w:val="20"/>
        </w:rPr>
        <w:t xml:space="preserve">3. </w:t>
      </w:r>
      <w:r>
        <w:rPr>
          <w:rFonts w:ascii="Calibri" w:hAnsi="Calibri"/>
          <w:b w:val="0"/>
          <w:color w:val="3A4A28"/>
          <w:sz w:val="20"/>
        </w:rPr>
        <w:t>EV transition timing mismatch — if EV adoption slows, the premium paid for GKN's eDrive capabilities may not generate expected returns; if it accelerates too fast, legacy ICE driveline revenues erode before eDrive scales to replace them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Dauch's core business — physical manufacturing of driveline components, axles, gears, electric drive units, and powder metallurgy products — is structurally protected from AI disruption. These are capital-intensive, precision-engineered physical products requiring metallurgy expertise, manufacturing tolerances measured in microns, and global supply chain operations that AI cannot substitute [2]. The automotive Tier 1 supplier model involves deeply embedded OEM customer relationships with validation cycles spanning years and safety-critical certification requirements. While AI may optimize manufacturing processes (predictive maintenance, quality control), it cannot replace the physical products themselves. The electrification transition actually increases driveline complexity and content per vehicle. AI Opportunity (0/1): No evidence of AI-generated revenue. Dauch uses standard manufacturing automation and is beginning to explore Industry 4.0 applications, but has not launched AI-powered products or services and management has not quantified any AI-related revenue contribution.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Dauch Corporation Q1/Q2 2026 Earnings — Q1 Revenue $2.38B (+68.6%), Q2 Revenue $2.96B (+92.4%), Adjusted EPS $0.34/$0.32, H1 Net Loss $99.3M, Guidance $10.6-10.8B Revenue, Webull and Quartr, 2026</w:t>
      </w:r>
    </w:p>
    <w:p>
      <w:pPr>
        <w:spacing w:before="20" w:after="20"/>
        <w:ind w:left="170"/>
      </w:pPr>
      <w:r>
        <w:rPr>
          <w:rFonts w:ascii="Calibri" w:hAnsi="Calibri"/>
          <w:b/>
          <w:color w:val="4A6B25"/>
          <w:sz w:val="15"/>
        </w:rPr>
        <w:t xml:space="preserve">2. </w:t>
      </w:r>
      <w:r>
        <w:rPr>
          <w:rFonts w:ascii="Calibri" w:hAnsi="Calibri"/>
          <w:b w:val="0"/>
          <w:color w:val="3A4A28"/>
          <w:sz w:val="17"/>
        </w:rPr>
        <w:t>Dauch Corporation Leadership and Strategy — CEO David C. Dauch (40+ years automotive), CFO Nathan Iles Appointment, Leadership Realignment, eDrive Strategy, dauch.com and AJ Bell,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DCH Key Statistics, Forward P/E 4.60x, PEG 0.43, D/E 343%, Total Debt $5.2B,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