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DC</w:t>
      </w:r>
      <w:r>
        <w:rPr>
          <w:rFonts w:ascii="Calibri" w:hAnsi="Calibri"/>
          <w:b/>
          <w:color w:val="1A2010"/>
          <w:sz w:val="40"/>
        </w:rPr>
        <w:t xml:space="preserve">  Dakota Gold Corp.</w:t>
      </w:r>
    </w:p>
    <w:p>
      <w:pPr>
        <w:spacing w:after="120"/>
      </w:pPr>
      <w:r>
        <w:rPr>
          <w:rFonts w:ascii="Calibri" w:hAnsi="Calibri"/>
          <w:b/>
          <w:color w:val="6E8450"/>
          <w:sz w:val="18"/>
        </w:rPr>
        <w:t>GROWTH SLEEVE · 2026-09-14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Mining · NYSE American · United States</w:t>
      </w:r>
    </w:p>
    <w:p>
      <w:pPr>
        <w:spacing w:after="80"/>
      </w:pPr>
      <w:r>
        <w:rPr>
          <w:rFonts w:ascii="Calibri" w:hAnsi="Calibri"/>
          <w:b w:val="0"/>
          <w:color w:val="3A4A28"/>
          <w:sz w:val="20"/>
        </w:rPr>
        <w:t>Dakota Gold Corp. is a gold exploration and development company focused on revitalizing the historic Homestake District in Lead, South Dakota. The company holds gold mineral properties surrounding the legendary Homestake Mine, which produced over 40 million ounces of gold during its 125-year operating history. Primary projects include the Richmond Hill Oxide Heap Leach Gold Project with an after-tax NPV of up to $3.7B and IRR of 107% at current gold prices, and the Maitland Gold Project. Production targeted for late 2029. Jack Henris became CEO on August 18, 2026, succeeding Dr. Robert Quartermain who remains board co-chair. Founded in 2017, headquartered in Lead, South Dakota.</w:t>
      </w:r>
    </w:p>
    <w:p>
      <w:r>
        <w:rPr>
          <w:rFonts w:ascii="Calibri" w:hAnsi="Calibri"/>
          <w:b/>
          <w:color w:val="6E8450"/>
          <w:sz w:val="18"/>
        </w:rPr>
        <w:t>41 Employees · https://dakotagoldcorp.com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Dakota Gold is advancing the Richmond Hill oxide heap leach gold project with an after-tax NPV of up to $3.7B and IRR of 107% at current gold prices, representing meaningful progress toward production, though no completed mine or revenue yet [1][2]. AI Deployment (0/2): No AI-related initiatives generating measurable results — the company utilizes modern exploration techniques including some AI-driven soil and satellite imagery analysis, but no AI products are shipping or quantified savings reported [3]. Market Share (0/2): Pre-revenue exploration-stage company with no market share in gold production; competitor landscape includes established producers like Barrick and Newmont [1]. Product Pipeline (1/2): Specific development timeline with pre-feasibility study expected Q4 2026, feasibility study H1 2027, and targeted production by late 2029, with secured $35M project funding and $106.9M cash on hand [2][4]. R&amp;D Intensity (1/1): Exploration spending of $21.0M in FY2025 constitutes the majority of operating expenditures, demonstrating high R&amp;D intensity appropriate for development-stage mining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Dakota Gold's stated purpose — 'dedicated to responsible and sustainable gold exploration and development with unwavering commitment to health, safety, and local communities' — is clear and identifies stakeholders beyond shareholders but is not distinctive among mining peers [5]. Community Impact (1/2): Published annual sustainability reports and achieved four consecutive years without a lost-time incident and zero reportable environmental incidents since 2022. The Lead community has embraced Dakota Gold and its long-term vision of revitalizing the District, with projects expected to create ~250 jobs and $400M in state severance taxes [5][6]. Employee Retention (0/2): Company has only ~41 full-time employees plus ~50 contractors; no publicly available retention or turnover data to evaluate [1]. Insider Buying (0/2): Net insider selling dominates 2026 — CEO Quartermain sold 250,000 shares ($1.7M), VP Berry sold 12,388 shares ($87K), Director Grafton sold 15,511 shares, offset only partially by Director Todd Kenner purchasing 17,921 shares ($100K) in May 2026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Dakota Gold is a pre-revenue exploration company with $0 in revenue and a TTM net loss of -$34.3M [1]. The balance sheet is a bright spot: D/E of 0.0% (essentially debt-free with only $168K in debt vs. $106.9M cash) scores maximum on leverage, and current ratio of 38.5 provides exceptional liquidity [1]. However, ROE of -29.6% reflecting losses against the equity base scores 0.0. With no revenue, profit margin, P/E, PEG, and revenue growth data are all unavailable and excluded from scoring. Infrastructure calculated on D/E (1.0, 1x weight) and ROE (0.0, 2x weight) only, yielding 1.0/3.0 weighted units = 3/10. Liquidity floor passes: avg daily volume of 1,600,000 x $5.81 stock price = $9.3M daily liquidity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Dakota Gold operates with a finite mindset focused on unlocking shareholder value through gold discovery and development. The company has a clear purpose around responsible mining but lacks the track record, leadership longevity, and organizational depth to score well on Sinek's framework. The CEO transition from Quartermain to Henris was completed on August 18, 2026 in an orderly succession, but net insider selling raises questions about management's long-term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Dakota Gold articulates a purpose around responsible gold development in the historic Homestake District, connecting mining to community prosperity and environmental stewardship [5]. However, the cause is fundamentally about shareholder value creation through gold resource development — 'unlock significant long-term value in the Homestake District during a renewed time of favourable gold prices.' This is a business objective, not a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team of ~41 employees plus ~50 contractors with four consecutive years of zero lost-time safety incidents, suggesting a strong safety culture [5][6]. The CEO transition from Quartermain to Henris was completed August 18, 2026 with deliberate succession planning — Henris served as president and COO before elevation, Quartermain remains as board co-chair, preserving institutional continuity [3]. Small team size makes trust assessment inherently limited.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Dakota Gold operates in a commoditized industry where competition is about resource quality and cost of production, not product differentiation or learning from competitors. As a single-asset exploration company, competitive dynamics are less relevant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Dakota Gold has been singularly focused on the Homestake District since its founding in 2017. The company has not demonstrated strategic flexibility or willingness to pivot. As a pre-production company with a single-district focus, it has not yet faced the existential tests that require flexibility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Securing $35M in project funding and advancing Richmond Hill toward a pre-feasibility study despite volatile gold markets shows commitment to long-term development over short-term share price management [4]. The completed CEO transition to Jack Henris (August 18, 2026) signals strategic intentionality in shifting from exploration to development [3]. However, outgoing CEO Quartermain's $1.7M stock sale undermines the narrative of courageous long-term commitment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Dakota Gold offers speculative upside tied to the Richmond Hill gold project, which shows exceptional economics at current gold prices (NPV $3.7B, IRR 107%, AISC ~$1,050/oz) [2]. The debt-free balance sheet ($106.9M cash, virtually zero debt) provides substantial runway through the pre-feasibility study and beyond. The completed CEO transition to Jack Henris — a veteran of Homestake, Barrick, Newmont, and Goldcorp — brings operational execution credibility as the company advances toward development milestones [3]. Gold prices near all-time highs provide a favorable macro backdrop, and the 6-analyst consensus of 'Strong Buy' with $12.00 price target implies over 100% upside from current levels [8].</w:t>
      </w:r>
    </w:p>
    <w:p>
      <w:pPr>
        <w:spacing w:after="120"/>
      </w:pPr>
      <w:r>
        <w:rPr>
          <w:rFonts w:ascii="Calibri" w:hAnsi="Calibri"/>
          <w:b w:val="0"/>
          <w:color w:val="3A4A28"/>
          <w:sz w:val="20"/>
        </w:rPr>
        <w:t>However, this remains a pre-revenue exploration play with significant execution risk across permitting, construction, and eventual production ramp — production is not expected until late 2029 at earliest [2]. Net insider selling of over $1.8M in 2026, led by outgoing CEO Quartermain's $1.7M sale, undermines confidence in management's conviction at current prices [7]. The ~$576M market cap prices in significant optionality for an asset that has not yet been permitted or built. Short interest of 5.46% signals meaningful market skepticism. The stock has been volatile within a $3.79-$7.25 52-week range. This is a speculative holding with binary outcomes — substantial upside if Richmond Hill reaches production on time and on budget, but significant capital risk if permitting, environmental challenges, or gold price declines derail the project.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Richmond Hill pre-feasibility study results expected Q4 2026 could de-risk the project and drive re-rating toward the $12.00 analyst target [2]</w:t>
      </w:r>
    </w:p>
    <w:p>
      <w:pPr>
        <w:spacing w:before="40" w:after="40"/>
        <w:ind w:left="283"/>
      </w:pPr>
      <w:r>
        <w:rPr>
          <w:rFonts w:ascii="Calibri" w:hAnsi="Calibri"/>
          <w:b/>
          <w:color w:val="4A6B25"/>
          <w:sz w:val="20"/>
        </w:rPr>
        <w:t xml:space="preserve">2. </w:t>
      </w:r>
      <w:r>
        <w:rPr>
          <w:rFonts w:ascii="Calibri" w:hAnsi="Calibri"/>
          <w:b w:val="0"/>
          <w:color w:val="3A4A28"/>
          <w:sz w:val="20"/>
        </w:rPr>
        <w:t>Gold prices above $2,500/oz significantly improve project economics with potential production of ~150,000 oz/year by late 2029 [2]</w:t>
      </w:r>
    </w:p>
    <w:p>
      <w:pPr>
        <w:spacing w:before="40" w:after="40"/>
        <w:ind w:left="283"/>
      </w:pPr>
      <w:r>
        <w:rPr>
          <w:rFonts w:ascii="Calibri" w:hAnsi="Calibri"/>
          <w:b/>
          <w:color w:val="4A6B25"/>
          <w:sz w:val="20"/>
        </w:rPr>
        <w:t xml:space="preserve">3. </w:t>
      </w:r>
      <w:r>
        <w:rPr>
          <w:rFonts w:ascii="Calibri" w:hAnsi="Calibri"/>
          <w:b w:val="0"/>
          <w:color w:val="3A4A28"/>
          <w:sz w:val="20"/>
        </w:rPr>
        <w:t>New CEO Jack Henris (effective August 18, 2026) brings deep heap leach and underground mining expertise from Homestake, Barrick, Newmont, and Goldcorp to accelerate development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with no production until late 2029 at earliest — permitting delays, cost overruns, or construction challenges could extend the timeline and require additional capital raises despite the current $106.9M cash position [1][2]</w:t>
      </w:r>
    </w:p>
    <w:p>
      <w:pPr>
        <w:spacing w:before="40" w:after="40"/>
        <w:ind w:left="283"/>
      </w:pPr>
      <w:r>
        <w:rPr>
          <w:rFonts w:ascii="Calibri" w:hAnsi="Calibri"/>
          <w:b/>
          <w:color w:val="4A6B25"/>
          <w:sz w:val="20"/>
        </w:rPr>
        <w:t xml:space="preserve">2. </w:t>
      </w:r>
      <w:r>
        <w:rPr>
          <w:rFonts w:ascii="Calibri" w:hAnsi="Calibri"/>
          <w:b w:val="0"/>
          <w:color w:val="3A4A28"/>
          <w:sz w:val="20"/>
        </w:rPr>
        <w:t>Net insider selling of $1.8M+ in 2026 led by outgoing CEO Quartermain ($1.7M) signals potential lack of management conviction at current valuation [7]</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risk in the Homestake District with no revenue diversification; a decline in gold prices below project breakeven would render the entire investment thesis invalid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and exploration is structurally immune to AI disruption — the core business involves physical-world geological surveying, drilling, mine permitting, and eventual ore extraction that AI cannot substitute [3]. Regulatory processes with EPA, state agencies, and environmental review requirements create additional non-AI-addressable barriers. Rising AI infrastructure buildout (data centers, power consumption) may indirectly support gold as an inflation hedge and store of value, making AI expansion a potential tailwind for gold demand. AI Opportunity (0/1): No AI-related revenue or products. While the company utilizes some AI-assisted exploration techniques for soil analysis and satellite imagery, this does not constitute quantifiable AI revenue generation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Dakota Gold Corp. Form 10-Q, Q1 FY2026 (Period ending March 31, 2026) — SEC Filing</w:t>
      </w:r>
    </w:p>
    <w:p>
      <w:pPr>
        <w:spacing w:before="20" w:after="20"/>
        <w:ind w:left="170"/>
      </w:pPr>
      <w:r>
        <w:rPr>
          <w:rFonts w:ascii="Calibri" w:hAnsi="Calibri"/>
          <w:b/>
          <w:color w:val="4A6B25"/>
          <w:sz w:val="15"/>
        </w:rPr>
        <w:t xml:space="preserve">2. </w:t>
      </w:r>
      <w:r>
        <w:rPr>
          <w:rFonts w:ascii="Calibri" w:hAnsi="Calibri"/>
          <w:b w:val="0"/>
          <w:color w:val="3A4A28"/>
          <w:sz w:val="17"/>
        </w:rPr>
        <w:t>Dakota Gold Corp. Annual Report FY2025 — SEC Filing, Richmond Hill Project Economics</w:t>
      </w:r>
    </w:p>
    <w:p>
      <w:pPr>
        <w:spacing w:before="20" w:after="20"/>
        <w:ind w:left="170"/>
      </w:pPr>
      <w:r>
        <w:rPr>
          <w:rFonts w:ascii="Calibri" w:hAnsi="Calibri"/>
          <w:b/>
          <w:color w:val="4A6B25"/>
          <w:sz w:val="15"/>
        </w:rPr>
        <w:t xml:space="preserve">3. </w:t>
      </w:r>
      <w:r>
        <w:rPr>
          <w:rFonts w:ascii="Calibri" w:hAnsi="Calibri"/>
          <w:b w:val="0"/>
          <w:color w:val="3A4A28"/>
          <w:sz w:val="17"/>
        </w:rPr>
        <w:t>Dakota Gold Corp. — CEO Transition: Jack Henris named CEO effective August 18, 2026, succeeding Dr. Robert Quartermain, StockTitan/Globe and Mail, July 2026</w:t>
      </w:r>
    </w:p>
    <w:p>
      <w:pPr>
        <w:spacing w:before="20" w:after="20"/>
        <w:ind w:left="170"/>
      </w:pPr>
      <w:r>
        <w:rPr>
          <w:rFonts w:ascii="Calibri" w:hAnsi="Calibri"/>
          <w:b/>
          <w:color w:val="4A6B25"/>
          <w:sz w:val="15"/>
        </w:rPr>
        <w:t xml:space="preserve">4. </w:t>
      </w:r>
      <w:r>
        <w:rPr>
          <w:rFonts w:ascii="Calibri" w:hAnsi="Calibri"/>
          <w:b w:val="0"/>
          <w:color w:val="3A4A28"/>
          <w:sz w:val="17"/>
        </w:rPr>
        <w:t>StockTitan — Dakota Gold Secures $35M Project Funding, 2026</w:t>
      </w:r>
    </w:p>
    <w:p>
      <w:pPr>
        <w:spacing w:before="20" w:after="20"/>
        <w:ind w:left="170"/>
      </w:pPr>
      <w:r>
        <w:rPr>
          <w:rFonts w:ascii="Calibri" w:hAnsi="Calibri"/>
          <w:b/>
          <w:color w:val="4A6B25"/>
          <w:sz w:val="15"/>
        </w:rPr>
        <w:t xml:space="preserve">5. </w:t>
      </w:r>
      <w:r>
        <w:rPr>
          <w:rFonts w:ascii="Calibri" w:hAnsi="Calibri"/>
          <w:b w:val="0"/>
          <w:color w:val="3A4A28"/>
          <w:sz w:val="17"/>
        </w:rPr>
        <w:t>Dakota Gold Corp. — Company Strategy, Corporate Values, and ESG Overview, dakotagoldcorp.com,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Dakota Gold Corp. — Sustainability Reports and Safety Record (four consecutive zero lost-time incident years), 2022-2026</w:t>
      </w:r>
    </w:p>
    <w:p>
      <w:pPr>
        <w:spacing w:before="20" w:after="20"/>
        <w:ind w:left="170"/>
      </w:pPr>
      <w:r>
        <w:rPr>
          <w:rFonts w:ascii="Calibri" w:hAnsi="Calibri"/>
          <w:b/>
          <w:color w:val="4A6B25"/>
          <w:sz w:val="15"/>
        </w:rPr>
        <w:t xml:space="preserve">7. </w:t>
      </w:r>
      <w:r>
        <w:rPr>
          <w:rFonts w:ascii="Calibri" w:hAnsi="Calibri"/>
          <w:b w:val="0"/>
          <w:color w:val="3A4A28"/>
          <w:sz w:val="17"/>
        </w:rPr>
        <w:t>Dakota Gold Corp. — Insider Trading Activity 2026 (Quartermain, Kenner, Grafton, Berry), SEC Form 4 Filings</w:t>
      </w:r>
    </w:p>
    <w:p>
      <w:pPr>
        <w:spacing w:before="20" w:after="20"/>
        <w:ind w:left="170"/>
      </w:pPr>
      <w:r>
        <w:rPr>
          <w:rFonts w:ascii="Calibri" w:hAnsi="Calibri"/>
          <w:b/>
          <w:color w:val="4A6B25"/>
          <w:sz w:val="15"/>
        </w:rPr>
        <w:t xml:space="preserve">8. </w:t>
      </w:r>
      <w:r>
        <w:rPr>
          <w:rFonts w:ascii="Calibri" w:hAnsi="Calibri"/>
          <w:b w:val="0"/>
          <w:color w:val="3A4A28"/>
          <w:sz w:val="17"/>
        </w:rPr>
        <w:t>StockAnalysis, Yahoo Finance — DC Dakota Gold Corp Statistics and Valuation: Price $5.81, Market Cap ~$576M,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