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DDL</w:t>
      </w:r>
      <w:r>
        <w:rPr>
          <w:rFonts w:ascii="Calibri" w:hAnsi="Calibri"/>
          <w:b/>
          <w:color w:val="1A2010"/>
          <w:sz w:val="40"/>
        </w:rPr>
        <w:t xml:space="preserve">  Dingdong (Cayman) Limited</w:t>
      </w:r>
    </w:p>
    <w:p>
      <w:pPr>
        <w:spacing w:after="120"/>
      </w:pPr>
      <w:r>
        <w:rPr>
          <w:rFonts w:ascii="Calibri" w:hAnsi="Calibri"/>
          <w:b/>
          <w:color w:val="6E8450"/>
          <w:sz w:val="18"/>
        </w:rPr>
        <w:t>GROWTH SLEEVE · 2026-09-08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Staples · Grocery Stores · NYSE · China</w:t>
      </w:r>
    </w:p>
    <w:p>
      <w:pPr>
        <w:spacing w:after="80"/>
      </w:pPr>
      <w:r>
        <w:rPr>
          <w:rFonts w:ascii="Calibri" w:hAnsi="Calibri"/>
          <w:b w:val="0"/>
          <w:color w:val="3A4A28"/>
          <w:sz w:val="20"/>
        </w:rPr>
        <w:t>Dingdong (Cayman) Limited operates a leading fresh grocery e-commerce platform in China, providing on-demand delivery of fresh produce, meat, seafood, prepared foods, and daily necessities through its mobile app with typically 30-minute delivery. Founded in 2017 and headquartered in Shanghai. CRITICAL: In February 2026, Dingdong announced a $717M definitive agreement to sell its entire China business to Meituan subsidiary Two Hearts Investments Limited; shareholders approved the sale in March 2026. Founder Liang Changlin resigned as CEO, succeeded by former CFO Wang Song. Q2 2026 revenue of RMB 7.27B (+11.8% YoY) marked the 10th consecutive GAAP-profitable quarter with net income of RMB 271.7M ($40M).</w:t>
      </w:r>
    </w:p>
    <w:p>
      <w:r>
        <w:rPr>
          <w:rFonts w:ascii="Calibri" w:hAnsi="Calibri"/>
          <w:b/>
          <w:color w:val="6E8450"/>
          <w:sz w:val="18"/>
        </w:rPr>
        <w:t>3,600 Employees · https://www.100.me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Dingdong evolved from pure grocery delivery to include a growing private-label and prepared foods business, achieving 15 consecutive quarters of non-GAAP profitability through the 'efficiency first, scale later' strategy shift in 2021 [1][2]. However, the ultimate outcome — selling the entire China business to Meituan for $717M — represents a strategic capitulation rather than innovation. No transformative product launch or business model pivot in the last five years. AI Deployment (1/2): The company uses big-data analysis for demand forecasting, supply chain optimization, and delivery routing across its fulfillment station network to reduce inventory waste and improve 29-minute delivery windows [3]. No AI-powered customer products or quantified savings reported. Market Share (1/2): Dingdong is a meaningful player in China's competitive fresh grocery e-commerce space, but the $717M Meituan sale price reflects a company that could not sustain independent competition against Meituan, JD.com, and Alibaba's Freshippo with vastly greater resources [4]. Product Pipeline (0/2): No next-generation products with timelines beyond continued private-label expansion; the pending Meituan sale effectively ends independent product development. R&amp;D Intensity (0/1): R&amp;D spending data not readily available; no evidence of above-peer investment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Dingdong's purpose of making fresh, high-quality food accessible and convenient to Chinese consumers through technology-powered delivery is clear and identifies its audience, but is not distinctive from numerous competitors in China's crowded grocery e-commerce market [3]. The Meituan sale undermines any independent mission narrative. Community Impact (0/2): No evidence of significant charitable programs, community investment, or foundation activity identified. Employee Retention (0/2): The company reduced headcount from over 10,000 to ~3,600 through aggressive cost-cutting, halting nearly 40 site operations in Guangdong alone, indicating massive workforce disruption rather than mission-driven retention [5]. Founder Liang Changlin's resignation as CEO after the Meituan deal further signals organizational discontinuity. Insider Buying (0/2): No evidence of meaningful net insider buying. The Meituan sale at $717M — well below the IPO-era market cap — suggests insiders view the business as having limited standalone value.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 stock. NOTE: Liquidity marginally clears the $1M floor — avg daily volume (~400K shares) x stock price ($2.83) = ~$1.13M — but this volume may be temporarily elevated by the pending Meituan acquisition and could decline post-deal [6]. Excluding liquidity concerns, the underlying metrics show a transformed profitability profile: ROE of 22.06% exceeds the 15% target, reflecting the turnaround from years of losses to 10 consecutive GAAP-profitable quarters with Q2 2026 net income of RMB 271.7M ($40M) [1]. Forward P/E of 7.95 is well below the 20 target. Revenue growth YoY of 7.5% (Q1) to 11.8% (Q2 GMV) reflects steady expansion [1][2]. The primary drags are D/E of 207% (target &lt;=70%) and razor-thin profit margin of 2.0% (target &gt;=20%). PEG unavailable and excluded from calculation. The 5yr revenue CAGR of ~12% scores at maximum.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Dingdong's sale of its entire China business to Meituan for $717M is the definitive finite game outcome — the company competed, couldn't win against larger rivals, and surrendered rather than continuing to play. The path to this point was characterized by survival-oriented cost-cutting (headcount reduced 60%+), geographic retreat (halting 40 sites in Guangdong), and the founder's resignation as CEO. Sinek would observe that without a Just Cause transcending market survival, the outcome was predetermined — Dingdong was playing to win a game it was never going to win, rather than playing an infinite game of purpose-driven value creation.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Dingdong's purpose of delivering fresh food quickly was a commercial proposition, not a Just Cause. While making quality groceries accessible has genuine value, the $717M sale to Meituan demonstrates that the company's purpose was not resilient or inspiring enough to sustain independent existence against larger competitors [4]. The cause did not differentiate from rivals or inspire the sacrifices needed to endure.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reduction from over 10,000 employees to ~3,600 through aggressive cost-cutting, closure of 40 Guangdong fulfillment sites, and the founder's resignation as CEO represent catastrophic erosion of organizational trust [5]. Remaining employees face uncertainty about the Meituan transition. No evidence of empowerment, psychological safety, or cultural practices supporting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$717M sale to Meituan — one of its primary competitors — is the ultimate finite game outcome: surrendering to a rival rather than learning from them. Dingdong operated in China's hypercompetitive e-commerce landscape where the language centers on market share, pricing, and survival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growth-at-all-costs to 'efficiency first, scale later' under founder Liang Changlin represented meaningful strategic adaptation that ultimately achieved 10 consecutive GAAP-profitable quarters [1][2]. The expansion into private-label products and prepared meals built higher-margin revenue. The Meituan sale itself is a form of flexibility — recognizing competitive reality rather than clinging to a failing independent strategy. However, these were survival-driven adaptations, not purpose-driven transformations.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shift to profitability through aggressive cost-cutting (60%+ headcount reduction) was operationally necessary but represents conventional survival management, not courageous leadership [5]. Selling the entire business to Meituan for $717M — a fraction of the IPO-era valuation — is the opposite of long-term investment in future capabilities. No examples of leadership sacrificing near-term results for long-term mission advancement.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Dingdong has achieved a remarkable operational turnaround — Q2 2026 delivered RMB 271.7M ($40M) in net income, the 10th consecutive GAAP-profitable quarter, with GMV growing 11.8% YoY to RMB 7.27B [1]. ROE of 22.06% and forward P/E of 7.95x reflect a fundamentally improved business that survived China's grocery e-commerce shakeout where competitor Missfresh collapsed. However, this is now a special situation: the $717M sale of the entire China business to Meituan was approved by shareholders in March 2026 [4]. At $2.83/share (~$611M market cap), DDL trades at a discount to the $717M deal value, offering potential merger-arbitrage upside if the deal closes. The profitability momentum (Q1 net income RMB 165M, Q2 net income RMB 272M) demonstrates the business value that attracted Meituan's acquisition interest [1][2].</w:t>
      </w:r>
    </w:p>
    <w:p>
      <w:pPr>
        <w:spacing w:after="120"/>
      </w:pPr>
      <w:r>
        <w:rPr>
          <w:rFonts w:ascii="Calibri" w:hAnsi="Calibri"/>
          <w:b w:val="0"/>
          <w:color w:val="3A4A28"/>
          <w:sz w:val="20"/>
        </w:rPr>
        <w:t>The bear case is dominated by the Meituan deal dynamics and structural investability concerns. The $717M sale price — for a company that raised $357M at IPO and peaked at $4.2B market cap — represents a 83% destruction of peak value, confirming that Dingdong could not compete as an independent entity against Meituan, JD.com, and Alibaba [4]. Liquidity is marginally above the $1M IOWN threshold (~$1.13M daily dollar volume) and may be temporarily inflated by deal activity — post-close, DDL as a Cayman shell with no China operations would likely become illiquid [6]. Chinese ADR regulatory risk from HFCAA enforcement remains, and deal-closing risk (regulatory approvals, integration uncertainty) could delay or derail the transaction. D/E of 207% and razor-thin 2.0% profit margin provide minimal buffer. The 2022 food safety scandal (selling expired food, regulatory probe) remains a reputational overhang [5]. The Inspire Impact Score of 0 (MIXED) reflects insufficient coverage for faith-based assessment. Post-deal, DDL will not have an operating business — this is a merger-arbitrage position, not a fundamental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Meituan acquisition closing — the $717M deal value implies ~$3.32/share vs current price of $2.83, representing 17% merger-arbitrage upside if the transaction completes on schedule and DDL distributes proceeds to shareholders [4]</w:t>
      </w:r>
    </w:p>
    <w:p>
      <w:pPr>
        <w:spacing w:before="40" w:after="40"/>
        <w:ind w:left="283"/>
      </w:pPr>
      <w:r>
        <w:rPr>
          <w:rFonts w:ascii="Calibri" w:hAnsi="Calibri"/>
          <w:b/>
          <w:color w:val="4A6B25"/>
          <w:sz w:val="20"/>
        </w:rPr>
        <w:t xml:space="preserve">2. </w:t>
      </w:r>
      <w:r>
        <w:rPr>
          <w:rFonts w:ascii="Calibri" w:hAnsi="Calibri"/>
          <w:b w:val="0"/>
          <w:color w:val="3A4A28"/>
          <w:sz w:val="20"/>
        </w:rPr>
        <w:t>Continued profitability momentum — Q2 2026 net income of RMB 272M marked the 10th consecutive GAAP-profitable quarter, potentially improving deal terms or attracting competing offers [1]</w:t>
      </w:r>
    </w:p>
    <w:p>
      <w:pPr>
        <w:spacing w:before="40" w:after="40"/>
        <w:ind w:left="283"/>
      </w:pPr>
      <w:r>
        <w:rPr>
          <w:rFonts w:ascii="Calibri" w:hAnsi="Calibri"/>
          <w:b/>
          <w:color w:val="4A6B25"/>
          <w:sz w:val="20"/>
        </w:rPr>
        <w:t xml:space="preserve">3. </w:t>
      </w:r>
      <w:r>
        <w:rPr>
          <w:rFonts w:ascii="Calibri" w:hAnsi="Calibri"/>
          <w:b w:val="0"/>
          <w:color w:val="3A4A28"/>
          <w:sz w:val="20"/>
        </w:rPr>
        <w:t>Resolution of Chinese ADR regulatory uncertainty that could unlock broader revaluation of China-listed e-commerce stocks and reduce the deal-closing risk discount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SPECIAL SITUATION WARNING: DDL is selling its entire China business to Meituan for $717M — post-close the Cayman entity will have no operating business, making this a merger-arbitrage position rather than a fundamental equity investment [4]</w:t>
      </w:r>
    </w:p>
    <w:p>
      <w:pPr>
        <w:spacing w:before="40" w:after="40"/>
        <w:ind w:left="283"/>
      </w:pPr>
      <w:r>
        <w:rPr>
          <w:rFonts w:ascii="Calibri" w:hAnsi="Calibri"/>
          <w:b/>
          <w:color w:val="4A6B25"/>
          <w:sz w:val="20"/>
        </w:rPr>
        <w:t xml:space="preserve">2. </w:t>
      </w:r>
      <w:r>
        <w:rPr>
          <w:rFonts w:ascii="Calibri" w:hAnsi="Calibri"/>
          <w:b w:val="0"/>
          <w:color w:val="3A4A28"/>
          <w:sz w:val="20"/>
        </w:rPr>
        <w:t>Liquidity marginally clears the $1M IOWN threshold at ~$1.13M daily dollar volume, inflated by Meituan deal activity — sustainable volume for the DDL shell post-deal is likely well below the threshold, making the stock uninvestable for institutional portfolios [6]</w:t>
      </w:r>
    </w:p>
    <w:p>
      <w:pPr>
        <w:spacing w:before="40" w:after="40"/>
        <w:ind w:left="283"/>
      </w:pPr>
      <w:r>
        <w:rPr>
          <w:rFonts w:ascii="Calibri" w:hAnsi="Calibri"/>
          <w:b/>
          <w:color w:val="4A6B25"/>
          <w:sz w:val="20"/>
        </w:rPr>
        <w:t xml:space="preserve">3. </w:t>
      </w:r>
      <w:r>
        <w:rPr>
          <w:rFonts w:ascii="Calibri" w:hAnsi="Calibri"/>
          <w:b w:val="0"/>
          <w:color w:val="3A4A28"/>
          <w:sz w:val="20"/>
        </w:rPr>
        <w:t>Chinese ADR regulatory risk from both US HFCAA enforcement and Chinese government regulatory intervention could delay deal closing, impose conditions, or create structural uncertainty about shareholder distributions from the sale proceeds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Dingdong's core business of physically delivering fresh groceries involves last-mile logistics, cold chain management, perishable inventory handling, and neighborhood fulfillment station operations that AI cannot substitute [3]. However, the e-commerce platform layer faces competitive pressure from larger tech platforms (Meituan, JD.com, Alibaba) with significantly greater AI capabilities for personalization, pricing optimization, demand prediction, and autonomous delivery development. The $717M Meituan sale implicitly acknowledges that Dingdong could not compete with AI-advantaged rivals at scale — Meituan's AI-powered logistics and customer intelligence represent a competitive moat Dingdong could not match [4]. AI-powered autonomous delivery could eventually compress the labor-intensive delivery cost structure. AI Opportunity (0/1): While Dingdong uses AI internally for demand forecasting and supply chain optimization, there is no evidence of quantifiable AI-related revenue generation or customer-facing AI products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Dingdong Q2 2026 Financial Results — GMV RMB 7.27B (+11.8% YoY), net income RMB 271.7M ($40M), 10th consecutive GAAP-profitable quarter — Manila Times, Yahoo Finance, PRNewswire,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Dingdong Q1 2026 Financial Results — Revenue RMB 5.89B (+7.5% YoY), net income RMB 165.4M, 15th consecutive non-GAAP profitable quarter — PRNewswire,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Dingdong Platform Operations — AI demand forecasting, 29-minute delivery, fulfillment station network, private-label expansion, founder Liang Changlin background — Harvard Digital Innovation, KrAsia, Crunchbase</w:t>
      </w:r>
    </w:p>
    <w:p>
      <w:pPr>
        <w:spacing w:before="20" w:after="20"/>
        <w:ind w:left="170"/>
      </w:pPr>
      <w:r>
        <w:rPr>
          <w:rFonts w:ascii="Calibri" w:hAnsi="Calibri"/>
          <w:b/>
          <w:color w:val="4A6B25"/>
          <w:sz w:val="15"/>
        </w:rPr>
        <w:t xml:space="preserve">4. </w:t>
      </w:r>
      <w:r>
        <w:rPr>
          <w:rFonts w:ascii="Calibri" w:hAnsi="Calibri"/>
          <w:b w:val="0"/>
          <w:color w:val="3A4A28"/>
          <w:sz w:val="17"/>
        </w:rPr>
        <w:t>Dingdong-Meituan $717M Acquisition — Definitive agreement Feb 5 2026, shareholder approval March 27, founder CEO resignation, Wang Song succeeds — investorroom, WebProNews, Seeking Alpha, YicaiGlobal, 2026</w:t>
      </w:r>
    </w:p>
    <w:p>
      <w:pPr>
        <w:spacing w:before="20" w:after="20"/>
        <w:ind w:left="170"/>
      </w:pPr>
      <w:r>
        <w:rPr>
          <w:rFonts w:ascii="Calibri" w:hAnsi="Calibri"/>
          <w:b/>
          <w:color w:val="4A6B25"/>
          <w:sz w:val="15"/>
        </w:rPr>
        <w:t xml:space="preserve">5. </w:t>
      </w:r>
      <w:r>
        <w:rPr>
          <w:rFonts w:ascii="Calibri" w:hAnsi="Calibri"/>
          <w:b w:val="0"/>
          <w:color w:val="3A4A28"/>
          <w:sz w:val="17"/>
        </w:rPr>
        <w:t>Dingdong Food Safety Controversy and Operations — 2022 Beijing food safety probe, Guangdong site closures, 60%+ headcount reduction — SCMP, TechNode, YicaiGlobal, 2022-2024</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GuruFocus — DDL Key Statistics: Stock Price $2.83, Forward P/E 7.95, D/E 207%, ROE 22.06%, Profit Margin 2.0%, Avg Volume ~400K —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