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DD</w:t>
      </w:r>
      <w:r>
        <w:rPr>
          <w:rFonts w:ascii="Calibri" w:hAnsi="Calibri"/>
          <w:b/>
          <w:color w:val="1A2010"/>
          <w:sz w:val="40"/>
        </w:rPr>
        <w:t xml:space="preserve">  DuPont de Nemours, Inc.</w:t>
      </w:r>
    </w:p>
    <w:p>
      <w:pPr>
        <w:spacing w:after="120"/>
      </w:pPr>
      <w:r>
        <w:rPr>
          <w:rFonts w:ascii="Calibri" w:hAnsi="Calibri"/>
          <w:b/>
          <w:color w:val="6E8450"/>
          <w:sz w:val="18"/>
        </w:rPr>
        <w:t>GROWTH SLEEVE · 2026-10-21 · Inspire: -49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62</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Basic Materials · Specialty Chemicals · NYSE · United States</w:t>
      </w:r>
    </w:p>
    <w:p>
      <w:pPr>
        <w:spacing w:after="80"/>
      </w:pPr>
      <w:r>
        <w:rPr>
          <w:rFonts w:ascii="Calibri" w:hAnsi="Calibri"/>
          <w:b w:val="0"/>
          <w:color w:val="3A4A28"/>
          <w:sz w:val="20"/>
        </w:rPr>
        <w:t>DuPont de Nemours, Inc. provides technology-based materials and solutions through two segments: Healthcare &amp; Water Technologies and Diversified Industrials. Products include Tyvek protective materials, FILMTEC water filtration membranes, semiconductor fabrication materials, and engineered adhesives and lubricants. The company generated TTM revenue of approximately $7.0B with a 0.8% GAAP profit margin depressed by restructuring charges related to the planned three-way corporate separation; adjusted operating EBITDA margin is approximately 24%. Q2 2026 net sales rose 4% to $1.8B with adjusted EPS of $1.88, beating consensus, and full-year 2026 guidance was raised to $7.16-7.19B revenue and $7.17-7.32 adjusted EPS [1][2].</w:t>
      </w:r>
    </w:p>
    <w:p>
      <w:r>
        <w:rPr>
          <w:rFonts w:ascii="Calibri" w:hAnsi="Calibri"/>
          <w:b/>
          <w:color w:val="6E8450"/>
          <w:sz w:val="18"/>
        </w:rPr>
        <w:t>15,000 Employees · https://www.dupont.com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DuPont's 200+ year science heritage produced iconic innovations — Tyvek, Kevlar, Nomex — and the company maintains leadership in advanced semiconductor fabrication materials (photoresists, CMP slurries, interconnect materials) critical to AI chip manufacturing at leading-edge nodes [3]. Recent years prioritized M&amp;A and restructuring over breakthrough R&amp;D, but the resulting portfolio is focused on high-value specialty segments. AI Deployment (1/2): DuPont's materials are foundational enablers of AI infrastructure — Executive Chairman Breen described the AI-driven semiconductor buildout as a 'super cycle over the next decade,' and the Electronics business directly supplies advanced fab materials to TSMC, Samsung, and Intel [3]. The company uses AI in manufacturing process optimization but is not a direct AI deployer. Market Share (2/2): Dominant positions across specialty niches: FILMTEC leads global reverse osmosis membranes, Tyvek commands &gt;70% of house wrap market share, and semiconductor materials serve virtually every advanced fab worldwide [1][2]. Pipeline (1/2): Next-generation materials for EUV lithography and advanced chip packaging address the semiconductor industry's most demanding requirements, and water treatment solutions target growing global scarcity, but the planned three-way separation creates execution uncertainty [3]. R&amp;D Intensity (1/1): R&amp;D investment of approximately $400M+ annually (~6% of revenue) exceeds specialty chemicals peers, reflecting DuPont's science-driven business model [5].</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DuPont's purpose of empowering the world with essential innovations to thrive is rooted in a 200+ year heritage of materials science but reads as generic for a post-restructuring specialty chemicals company — the serial M&amp;A and separation activity dilutes what was once a more distinctive scientific identity [3]. Community Impact (1/2): The company set 2030 sustainability goals including 30% GHG reduction from 2019 baseline and carbon neutral operations by 2050, with 60% renewable electricity targets [4]. However, legacy environmental liabilities — the EPA named DuPont in association with 103 Superfund sites, and ongoing PFAS-related litigation continues to shadow the brand [4]. Retention (1/2): The CEO transition from Ed Breen (Executive Chairman) to Lori Koch (former CFO, appointed CEO June 2024) was smooth and internally driven, suggesting organizational bench strength [3]. However, the pending three-way separation creates significant uncertainty for the 15,000-employee workforce. Insider Buying (0/2): No evidence of meaningful net insider purchases by senior executives in the past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(dividend yield 1.81% below 2% threshold). DuPont's infrastructure profile is heavily distorted by restructuring charges: GAAP profit margin of just 0.8% (score 0.04) and ROE of 1.8% (score 0.12, 2x weight) reflect one-time separation costs, not ongoing economics — adjusted operating EBITDA margin is approximately 24% and forward EPS of $7.99 implies normalized ROE well above 15% [1][2][5]. D/E of 22.9% is excellent (score 1.0), reflecting conservative leverage. Forward P/E of 16.6 is attractive (score 1.0), pricing in the earnings normalization. Revenue growth of 4% YoY is modest (score 0.80), driven by healthcare, water, and aerospace strength [1]. The PEG ratio of 1.72 scores mid-range (0.64, 2x weight), reflecting moderate growth expectations relative to valuation. Estimated 5-year revenue CAGR of ~2% (score 0.47, 2x weight) is suppressed by the corporate separations that reduced the revenue base from $13B+ to ~$7B, making the historical comparison misleading [5]. Daily dollar volume of ~$166M provides ample liquidity.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DuPont operates with a mixed infinite-game orientation — the 200+ year heritage of science-driven innovation provides a foundation for long-term thinking, but the serial restructuring pattern (DowDuPont merger, triple separation, pending new split) suggests optimization for shareholder value extraction rather than a durable just cause. The company has demonstrated existential flexibility by repeatedly transforming its business model across centuries, but the current three-way separation raises questions about whether the cause drives the strategy or the strategy drives the cause.</w:t>
      </w:r>
    </w:p>
    <w:p>
      <w:pPr>
        <w:spacing w:before="200" w:after="40"/>
      </w:pPr>
      <w:r>
        <w:rPr>
          <w:rFonts w:ascii="Calibri" w:hAnsi="Calibri"/>
          <w:b/>
          <w:color w:val="1A2010"/>
          <w:sz w:val="22"/>
        </w:rPr>
        <w:t>Just Cause</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DuPont's 200+ year heritage of science-based innovation gives it a historical foundation for purpose, but the current mission has been diluted by serial restructurings — the company has gone from conglomerate to DowDuPont to three-way split in under a decade, each transformation prioritizing portfolio optimization over a unifying purpose [3]. The planned separation into Electronics, Water, and New DuPont suggests the 'cause' is shareholder value creation through financial engineering rather than a durable vision that transcends any single business.</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The CEO transition from Breen to Koch was planned and smooth — Koch was promoted from CFO, suggesting internal talent development and succession planning [3]. However, the pending three-way corporate separation creates existential uncertainty for 15,000 employees who face potential organizational disruption, role changes, and culture fragmentation. No specific Glassdoor data or voluntary turnover metrics were found to assess current employee sentiment.</w:t>
      </w:r>
    </w:p>
    <w:p>
      <w:pPr>
        <w:spacing w:before="200" w:after="40"/>
      </w:pPr>
      <w:r>
        <w:rPr>
          <w:rFonts w:ascii="Calibri" w:hAnsi="Calibri"/>
          <w:b/>
          <w:color w:val="1A2010"/>
          <w:sz w:val="22"/>
        </w:rPr>
        <w:t>Worthy Rivals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DuPont competes against BASF, 3M, Dow, and Entegris across its specialty materials portfolio. The company has responded to competitive pressure by systematically divesting commodity businesses and focusing on higher-value niches where its science capabilities create differentiation — a productive response that uses rivalry to sharpen strategic focus rather than engage in destructive price competition [3][5].</w:t>
      </w:r>
    </w:p>
    <w:p>
      <w:pPr>
        <w:spacing w:before="200" w:after="40"/>
      </w:pPr>
      <w:r>
        <w:rPr>
          <w:rFonts w:ascii="Calibri" w:hAnsi="Calibri"/>
          <w:b/>
          <w:color w:val="1A2010"/>
          <w:sz w:val="22"/>
        </w:rPr>
        <w:t>Existential Flexibility</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(2/2): DuPont has repeatedly reinvented itself across two centuries: from explosives to chemicals to materials science, from conglomerate to focused specialty company, and now from two segments to three independent entities [3]. The willingness to divest large businesses (Nutrition &amp; Biosciences sold to IFF, Mobility &amp; Materials separated) demonstrates genuine flexibility. However, the current split appears more financially motivated than purpose-driven, preventing a maximum score.</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three-way separation is a bold structural move that requires significant management attention and execution risk [3]. The company's investment in semiconductor materials and water technology positions it for long-term secular trends. However, the pattern of buy-restructure-separate under Breen's leadership raises questions about whether these are principled long-term bets or financial optimization exercises — courage in service of what cause remains unclear.</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DuPont at $133 with an $18B market cap is a specialty materials company in transformation — the planned three-way separation into Electronics, Water, and New DuPont aims to unlock value from businesses generating $7.0B in combined revenue with a 24% adjusted EBITDA margin [1][2]. Q2 2026 delivered 4% organic sales growth with adjusted EPS of $1.88 beating consensus, and management raised full-year guidance to $7.17-7.32 adjusted EPS, roughly triple trailing GAAP EPS of $3.72 as restructuring charges normalize [1][2]. The semiconductor materials franchise is a direct AI beneficiary — every advanced chip requires DuPont photoresists, CMP slurries, and interconnect materials — while the Water business addresses growing global scarcity. At 16.6x forward earnings with near-zero net debt (D/E 22.9%), DuPont offers reasonable value for a company whose earnings are inflecting sharply higher [5].</w:t>
      </w:r>
    </w:p>
    <w:p>
      <w:pPr>
        <w:spacing w:after="120"/>
      </w:pPr>
      <w:r>
        <w:rPr>
          <w:rFonts w:ascii="Calibri" w:hAnsi="Calibri"/>
          <w:b w:val="0"/>
          <w:color w:val="3A4A28"/>
          <w:sz w:val="20"/>
        </w:rPr>
        <w:t>The bear case centers on execution risk and depressed trailing financials. GAAP profit margin of just 0.8% and ROE of 1.8% reflect significant restructuring charges, and while management guides to normalized earnings of $7.17-7.32 per share, the three-way separation introduces operational complexity, management distraction, and potential dis-synergies that could delay earnings normalization [3]. Revenue growth of just 4% is modest for a company valued at 16.6x forward earnings, and the estimated 5-year revenue CAGR of ~2% (complicated by corporate restructuring) suggests limited organic growth momentum [5]. DuPont's environmental legacy — 103 Superfund sites and ongoing PFAS litigation — poses tail risk for the post-separation entities, particularly as regulatory scrutiny of forever chemicals intensifies globally [4]. The dividend yield of 1.81% provides minimal income support, and the 81.5% GAAP payout ratio (artificially inflated by depressed earnings) could face pressure if the separation does not unlock the projected cost savings.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Three-way corporate separation expected to unlock significant value by creating focused pure-play companies in Electronics, Water, and Industrials — each targeting distinct investor bases with clearer growth narratives and potentially higher valuation multiples [3]</w:t>
      </w:r>
    </w:p>
    <w:p>
      <w:pPr>
        <w:spacing w:before="40" w:after="40"/>
        <w:ind w:left="283"/>
      </w:pPr>
      <w:r>
        <w:rPr>
          <w:rFonts w:ascii="Calibri" w:hAnsi="Calibri"/>
          <w:b/>
          <w:color w:val="4A6B25"/>
          <w:sz w:val="20"/>
        </w:rPr>
        <w:t xml:space="preserve">2. </w:t>
      </w:r>
      <w:r>
        <w:rPr>
          <w:rFonts w:ascii="Calibri" w:hAnsi="Calibri"/>
          <w:b w:val="0"/>
          <w:color w:val="3A4A28"/>
          <w:sz w:val="20"/>
        </w:rPr>
        <w:t>AI-driven semiconductor super cycle directly benefits DuPont's Electronics business as accelerating fab construction and advanced node migration at TSMC, Samsung, and Intel drive demand for photoresists, CMP slurries, and interconnect materials [3]</w:t>
      </w:r>
    </w:p>
    <w:p>
      <w:pPr>
        <w:spacing w:before="40" w:after="40"/>
        <w:ind w:left="283"/>
      </w:pPr>
      <w:r>
        <w:rPr>
          <w:rFonts w:ascii="Calibri" w:hAnsi="Calibri"/>
          <w:b/>
          <w:color w:val="4A6B25"/>
          <w:sz w:val="20"/>
        </w:rPr>
        <w:t xml:space="preserve">3. </w:t>
      </w:r>
      <w:r>
        <w:rPr>
          <w:rFonts w:ascii="Calibri" w:hAnsi="Calibri"/>
          <w:b w:val="0"/>
          <w:color w:val="3A4A28"/>
          <w:sz w:val="20"/>
        </w:rPr>
        <w:t>Earnings normalization from $3.72 GAAP trailing EPS to $7.17-7.32 adjusted EPS guidance as restructuring charges fall away, representing potential 90%+ earnings growth that the 16.6x forward multiple does not fully reflect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Three-way separation execution risk — managing simultaneous separations of Electronics and Water businesses while running ongoing operations creates management distraction, potential dis-synergies, and stranded costs that could delay earnings normalization [3]</w:t>
      </w:r>
    </w:p>
    <w:p>
      <w:pPr>
        <w:spacing w:before="40" w:after="40"/>
        <w:ind w:left="283"/>
      </w:pPr>
      <w:r>
        <w:rPr>
          <w:rFonts w:ascii="Calibri" w:hAnsi="Calibri"/>
          <w:b/>
          <w:color w:val="4A6B25"/>
          <w:sz w:val="20"/>
        </w:rPr>
        <w:t xml:space="preserve">2. </w:t>
      </w:r>
      <w:r>
        <w:rPr>
          <w:rFonts w:ascii="Calibri" w:hAnsi="Calibri"/>
          <w:b w:val="0"/>
          <w:color w:val="3A4A28"/>
          <w:sz w:val="20"/>
        </w:rPr>
        <w:t>Environmental and PFAS litigation tail risk — legacy of 103 Superfund sites and ongoing PFAS-related lawsuits could result in material settlements or remediation costs for post-separation entities as global regulatory scrutiny of forever chemicals intensifies [4]</w:t>
      </w:r>
    </w:p>
    <w:p>
      <w:pPr>
        <w:spacing w:before="40" w:after="40"/>
        <w:ind w:left="283"/>
      </w:pPr>
      <w:r>
        <w:rPr>
          <w:rFonts w:ascii="Calibri" w:hAnsi="Calibri"/>
          <w:b/>
          <w:color w:val="4A6B25"/>
          <w:sz w:val="20"/>
        </w:rPr>
        <w:t xml:space="preserve">3. </w:t>
      </w:r>
      <w:r>
        <w:rPr>
          <w:rFonts w:ascii="Calibri" w:hAnsi="Calibri"/>
          <w:b w:val="0"/>
          <w:color w:val="3A4A28"/>
          <w:sz w:val="20"/>
        </w:rPr>
        <w:t>Modest organic growth of 4% YoY with ~2% estimated 5-year revenue CAGR suggests DuPont's end markets are mature, and the company depends on the separation to drive re-rating rather than fundamental growth acceleration [1][2][5]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DuPont's core products are physical materials and engineered solutions that cannot be digitally substituted — Tyvek protective garments, FILMTEC water filtration membranes, semiconductor fab materials, and specialty adhesives all require physical manufacturing and delivery regardless of AI advances [1][3]. The semiconductor materials business directly benefits from AI chip demand, as every advanced GPU and AI accelerator requires DuPont's photoresists, CMP slurries, and interconnect materials. Water purification is essential infrastructure immune to AI disruption. The only modest risk is AI optimizing material usage in manufacturing, marginally reducing demand intensity, but the net effect of AI on DuPont is overwhelmingly positive given the massive infrastructure buildout required. AI Opportunity (1/1): Executive Chairman Breen identified the AI-driven semiconductor cycle as a 'super cycle over the next decade,' and DuPont's Electronics business is a direct beneficiary of accelerating fab construction and advanced node migration at TSMC, Samsung, and Intel [3]. The Healthcare &amp; Water segment also benefits as AI data centers drive enormous water cooling demand.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-49</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LGBT Activism </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DuPont Q2 2026 Earnings Release — Net sales $1.8B (+4% YoY), organic sales +4%, adj EPS $1.88 vs. $1.76 consensus, raised full-year guidance, SEC 8-K, July 2026</w:t>
      </w:r>
    </w:p>
    <w:p>
      <w:pPr>
        <w:spacing w:before="20" w:after="20"/>
        <w:ind w:left="170"/>
      </w:pPr>
      <w:r>
        <w:rPr>
          <w:rFonts w:ascii="Calibri" w:hAnsi="Calibri"/>
          <w:b/>
          <w:color w:val="4A6B25"/>
          <w:sz w:val="15"/>
        </w:rPr>
        <w:t xml:space="preserve">2. </w:t>
      </w:r>
      <w:r>
        <w:rPr>
          <w:rFonts w:ascii="Calibri" w:hAnsi="Calibri"/>
          <w:b w:val="0"/>
          <w:color w:val="3A4A28"/>
          <w:sz w:val="17"/>
        </w:rPr>
        <w:t>DuPont Q1 2026 Earnings Release — Net sales $1.68B (+4%), 2% organic growth + 2% currency benefit, adj EPS $0.55, SEC 8-K, April 2026</w:t>
      </w:r>
    </w:p>
    <w:p>
      <w:pPr>
        <w:spacing w:before="20" w:after="20"/>
        <w:ind w:left="170"/>
      </w:pPr>
      <w:r>
        <w:rPr>
          <w:rFonts w:ascii="Calibri" w:hAnsi="Calibri"/>
          <w:b/>
          <w:color w:val="4A6B25"/>
          <w:sz w:val="15"/>
        </w:rPr>
        <w:t xml:space="preserve">3. </w:t>
      </w:r>
      <w:r>
        <w:rPr>
          <w:rFonts w:ascii="Calibri" w:hAnsi="Calibri"/>
          <w:b w:val="0"/>
          <w:color w:val="3A4A28"/>
          <w:sz w:val="17"/>
        </w:rPr>
        <w:t>DuPont Three-Way Separation and CEO Transition — Lori Koch appointed CEO June 2024, Ed Breen to Executive Chairman, Electronics/Water/New DuPont split announced May 2024, iconnect007, Chemical Engineer, Convergedigest, 2024-2026</w:t>
      </w:r>
    </w:p>
    <w:p>
      <w:pPr>
        <w:spacing w:before="20" w:after="20"/>
        <w:ind w:left="170"/>
      </w:pPr>
      <w:r>
        <w:rPr>
          <w:rFonts w:ascii="Calibri" w:hAnsi="Calibri"/>
          <w:b/>
          <w:color w:val="4A6B25"/>
          <w:sz w:val="15"/>
        </w:rPr>
        <w:t xml:space="preserve">4. </w:t>
      </w:r>
      <w:r>
        <w:rPr>
          <w:rFonts w:ascii="Calibri" w:hAnsi="Calibri"/>
          <w:b w:val="0"/>
          <w:color w:val="3A4A28"/>
          <w:sz w:val="17"/>
        </w:rPr>
        <w:t>DuPont Environmental and ESG History — EPA association with 103 Superfund sites, PFOA lawsuits, 2030 sustainability goals (30% GHG reduction, carbon neutral 2050), Pacific Standard, SEC Filings, 2010-2026</w:t>
      </w:r>
    </w:p>
    <w:p>
      <w:pPr>
        <w:spacing w:before="20" w:after="20"/>
        <w:ind w:left="170"/>
      </w:pPr>
      <w:r>
        <w:rPr>
          <w:rFonts w:ascii="Calibri" w:hAnsi="Calibri"/>
          <w:b/>
          <w:color w:val="4A6B25"/>
          <w:sz w:val="15"/>
        </w:rPr>
        <w:t xml:space="preserve">5. </w:t>
      </w:r>
      <w:r>
        <w:rPr>
          <w:rFonts w:ascii="Calibri" w:hAnsi="Calibri"/>
          <w:b w:val="0"/>
          <w:color w:val="3A4A28"/>
          <w:sz w:val="17"/>
        </w:rPr>
        <w:t>Yahoo Finance — DD key statistics, financial data, and dividend history, accessed 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