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DFDV</w:t>
      </w:r>
      <w:r>
        <w:rPr>
          <w:rFonts w:ascii="Calibri" w:hAnsi="Calibri"/>
          <w:b/>
          <w:color w:val="1A2010"/>
          <w:sz w:val="40"/>
        </w:rPr>
        <w:t xml:space="preserve">  DeFi Development Corp.</w:t>
      </w:r>
    </w:p>
    <w:p>
      <w:pPr>
        <w:spacing w:after="120"/>
      </w:pPr>
      <w:r>
        <w:rPr>
          <w:rFonts w:ascii="Calibri" w:hAnsi="Calibri"/>
          <w:b/>
          <w:color w:val="6E8450"/>
          <w:sz w:val="18"/>
        </w:rPr>
        <w:t>GROWTH SLEEVE · 2026-09-18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Cryptocurrency · NASDAQ · United States</w:t>
      </w:r>
    </w:p>
    <w:p>
      <w:pPr>
        <w:spacing w:after="80"/>
      </w:pPr>
      <w:r>
        <w:rPr>
          <w:rFonts w:ascii="Calibri" w:hAnsi="Calibri"/>
          <w:b w:val="0"/>
          <w:color w:val="3A4A28"/>
          <w:sz w:val="20"/>
        </w:rPr>
        <w:t>DeFi Development Corp. (formerly Janover Inc.) is a Solana treasury company that purchases, holds, and compounds SOL holdings through staking and operating owned validators. The Digital Asset Treasury segment constitutes the core business; the legacy Real Estate Platform segment was wound down as of Q2 2026. The company holds approximately 2.29M SOL with SOL-per-share of 0.0670, having achieved 108% SPS growth over the trailing year. Acquired by former Kraken executives in April 2025, rebranded from Janover, and sought to raise over $1B in securities for additional Solana acquisition. Headquartered in Boca Raton, Florida.</w:t>
      </w:r>
    </w:p>
    <w:p>
      <w:r>
        <w:rPr>
          <w:rFonts w:ascii="Calibri" w:hAnsi="Calibri"/>
          <w:b/>
          <w:color w:val="6E8450"/>
          <w:sz w:val="18"/>
        </w:rPr>
        <w:t>16 Employees · https://defidevcorp.com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April 2025 pivot from real estate tech platform (Janover) to Solana treasury company was a radical business model transformation that opened a new revenue stream — Q1 2026 revenue reached $2.66M from staking and validator operations — but the new model remains unproven with massive net losses (EPS -$3.18 in Q1) and the transformation was an ownership change rather than organic innovation [1]. AI Deployment (0/2): No AI products, services, or internal AI-driven efficiency gains disclosed; the business is blockchain-native, not AI-native. Market Share (0/2): DFDV holds approximately 2.29M SOL tokens but is a minor player in the institutional crypto treasury space, dwarfed by Strategy (MicroStrategy) in Bitcoin and lacking structural differentiation beyond Solana-specific focus [2]. Product Pipeline (0/2): The company's $1B securities offering and Treasury Accelerator program are capital-raising and operational initiatives, not products [2][3]. No specific next-generation products with launch timelines identified. R&amp;D Intensity (0/1): No meaningful R&amp;D spend; the business model is treasury management and staking, not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stated purpose of 'bridging the liquidity gap between Traditional Finance and Decentralized Finance' is functional and identifiable but essentially describes a financial intermediation strategy interchangeable with dozens of crypto-native firms [3]. It does not articulate a deeper vision of a better future — buying and staking SOL is not a Just Cause. Community Impact (0/2): No charitable programs, community investment, or foundation activity identified. The wind-down of all legacy Janover businesses eliminated what little community-facing operations existed. Employee Retention (0/2): The team is extremely small (16 employees, down from 20) with average management tenure of approximately 1.2 years following the April 2025 acquisition. CCO Blake Janover departed March 2026 with a $692,500 separation payment, signaling leadership instability [4]. Insider Buying (1/2): The former-Kraken team acquired majority ownership of the company in April 2025, demonstrating meaningful personal capital commitment to the Solana thesis, though this was a control acquisition rather than traditional open-market insider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significant data gaps due to the company's unusual crypto treasury structure. Revenue growth YoY of 66.9% (from FY2025's 442% growth) scores 1.0, driven by expanding staking income and validator operations [1][5]. However, all profitability metrics score 0: ROE is catastrophically negative at -589.3% (reflecting massive unrealized losses on SOL holdings against a negative book value of -$0.39/share), profit margin is effectively 0%, and forward P/E is negative at -8.5 (forward EPS -$0.59) [5]. D/E is unavailable due to negative equity ($120.6M total debt against negative book value). The fundamental tension is that revenue growth is real (staking income) but earnings are dominated by mark-to-market volatility on SOL holdings that make traditional financial analysis nearly meaningless. Liquidity passes: $5.00 × 1.22M avg volume = $6.1M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DeFi Development Corp is a textbook finite player. The company exists to accumulate SOL tokens and grow SOL-per-share — a purely financial metric with no connection to a broader purpose or vision of a better future. The April 2025 transformation was bold but driven by financial arbitrage, not a Just Cause. Leadership instability (Blake Janover departure, 1.2-year average management tenure, headcount declining from 20 to 16) and the wind-down of all legacy businesses confirm a company optimizing for crypto market conditions rather than building to endure [4].</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DFDV does not articulate a Just Cause. The company's strategy of 'building its treasury around Solana' is a financial engineering objective, not a vision of a future state that inspires sacrifice [2]. 'Bridging TradFi and DeFi' is marketing language for an asset accumulation strategy. Sinek would identify this as a classic finite player pursuing financial returns with no enduring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organization is too new and too small (~16 people) to evaluate trust dynamics meaningfully. Average management tenure of 1.2 years, Blake Janover's separation after one year in the restructured company ($692.5K severance), and headcount declining from 20 to 16 suggest organizational instability rather than a Circle of Safety [4]. No evidence of employee empowerment or cultural practices that create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company positions against Strategy (MicroStrategy) in purely financial terms — mNAV premium, SPS growth, capital efficiency — rather than acknowledging competitors' strengths or using rivalry for self-improvement [2]. Competitive language is about accumulating more SOL, not about getting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April 2025 pivot from Janover (real estate tech platform) to DeFi Development Corp (Solana treasury vehicle) was a complete business model reinvention — new name, new leadership, new strategy, new revenue streams [4]. This is genuine flexibility. However, it was driven by new owners acquiring a public shell for financial arbitrage rather than advancing a Just Cause, and the wind-down of all legacy businesses was an identity replacement rather than purposeful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wind down all legacy Janover businesses (Capital Markets and Insurance) in March 2026 and concentrate entirely on the Solana treasury strategy required conviction, eliminating diversification to commit fully to crypto [4]. CEO Joseph Onorati's all-in bet on SOL, seeking to raise $1B+ in securities for additional Solana acquisition, demonstrates willingness to accept concentrated risk [3]. However, the bets are financed primarily through shareholder dilution, limiting personal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DeFi Development Corp offers leveraged public-market exposure to Solana through a treasury vehicle holding approximately 2.29M SOL with 108% SOL-per-share growth over the trailing year [2]. Q1 2026 revenue reached $2.66M from staking and validator operations, with FY2025 showing 442% revenue growth and TTM revenue of approximately $15M [1][5]. The stock has recovered 56% from its July lows ($3.21 to $5.00), suggesting improved sentiment as Solana strengthens. The former-Kraken leadership team brings deep crypto operational expertise, the company's validator infrastructure provides structural yield above passive SOL holding, and the $1B securities offering would dramatically scale the treasury if executed [3]. At $163M market cap, DFDV provides the only pure-play public Solana treasury exposure on NASDAQ.</w:t>
      </w:r>
    </w:p>
    <w:p>
      <w:pPr>
        <w:spacing w:after="120"/>
      </w:pPr>
      <w:r>
        <w:rPr>
          <w:rFonts w:ascii="Calibri" w:hAnsi="Calibri"/>
          <w:b w:val="0"/>
          <w:color w:val="3A4A28"/>
          <w:sz w:val="20"/>
        </w:rPr>
        <w:t>The bear case is severe and multi-dimensional. DFDV reported Q1 2026 EPS of -$3.18 on just $2.66M revenue, driven by massive unrealized losses on SOL holdings that make earnings completely unpredictable [1]. Book value is negative (-$0.39/share) and total debt of $120.6M against only $6.3M cash creates a deeply inverted balance sheet. The stock remains 73% below its 52-week high of $18.28, and the 87% correlation to SOL price means shareholders could buy SOL directly with lower fees and zero dilution risk. The authorized $1B securities offering creates persistent dilution overhang that can erode SPS gains even when SOL appreciates. Management tenure averages just 1.2 years, headcount dropped from 20 to 16, Blake Janover's departure ($692.5K severance) raises continuity concerns, and the complete wind-down of all legacy businesses leaves DFDV as a pure-play SOL bet with no revenue diversification and no defensive characteristics in a crypto downturn [4]. The company's Inspire Impact Score of 0 (MIXED) reflects negligible ESG profile with no positive or negative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SOL price appreciation driving NAV expansion — the company's 2.29M SOL position means every $10 increase in SOL price adds approximately $23M in treasury value, potentially attracting institutional investors seeking regulated Solana exposure [2]</w:t>
      </w:r>
    </w:p>
    <w:p>
      <w:pPr>
        <w:spacing w:before="40" w:after="40"/>
        <w:ind w:left="283"/>
      </w:pPr>
      <w:r>
        <w:rPr>
          <w:rFonts w:ascii="Calibri" w:hAnsi="Calibri"/>
          <w:b/>
          <w:color w:val="4A6B25"/>
          <w:sz w:val="20"/>
        </w:rPr>
        <w:t xml:space="preserve">2. </w:t>
      </w:r>
      <w:r>
        <w:rPr>
          <w:rFonts w:ascii="Calibri" w:hAnsi="Calibri"/>
          <w:b w:val="0"/>
          <w:color w:val="3A4A28"/>
          <w:sz w:val="20"/>
        </w:rPr>
        <w:t>Validator infrastructure and DeFi yield compounding achieving SPS growth targets that demonstrate the treasury management strategy adds value beyond simple buy-and-hold, differentiating from passive crypto funds [2]</w:t>
      </w:r>
    </w:p>
    <w:p>
      <w:pPr>
        <w:spacing w:before="40" w:after="40"/>
        <w:ind w:left="283"/>
      </w:pPr>
      <w:r>
        <w:rPr>
          <w:rFonts w:ascii="Calibri" w:hAnsi="Calibri"/>
          <w:b/>
          <w:color w:val="4A6B25"/>
          <w:sz w:val="20"/>
        </w:rPr>
        <w:t xml:space="preserve">3. </w:t>
      </w:r>
      <w:r>
        <w:rPr>
          <w:rFonts w:ascii="Calibri" w:hAnsi="Calibri"/>
          <w:b w:val="0"/>
          <w:color w:val="3A4A28"/>
          <w:sz w:val="20"/>
        </w:rPr>
        <w:t>Potential Solana ETF approval or broader institutional SOL adoption driving a re-rating premium for the only pure-play public Solana treasury vehicle on NASDAQ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single-asset concentration in Solana with 87% price correlation means a SOL-specific event — protocol exploit, regulatory action, or L1 competitive displacement — could destroy the majority of shareholder value with no diversification buffer</w:t>
      </w:r>
    </w:p>
    <w:p>
      <w:pPr>
        <w:spacing w:before="40" w:after="40"/>
        <w:ind w:left="283"/>
      </w:pPr>
      <w:r>
        <w:rPr>
          <w:rFonts w:ascii="Calibri" w:hAnsi="Calibri"/>
          <w:b/>
          <w:color w:val="4A6B25"/>
          <w:sz w:val="20"/>
        </w:rPr>
        <w:t xml:space="preserve">2. </w:t>
      </w:r>
      <w:r>
        <w:rPr>
          <w:rFonts w:ascii="Calibri" w:hAnsi="Calibri"/>
          <w:b w:val="0"/>
          <w:color w:val="3A4A28"/>
          <w:sz w:val="20"/>
        </w:rPr>
        <w:t>Negative book value (-$0.39/share), $120.6M debt against $6.3M cash, and persistent share dilution through the $1B securities offering erode SOL-per-share gains, potentially leaving common shareholders worse off than direct SOL holders paying zero management fees [4][5]</w:t>
      </w:r>
    </w:p>
    <w:p>
      <w:pPr>
        <w:spacing w:before="40" w:after="40"/>
        <w:ind w:left="283"/>
      </w:pPr>
      <w:r>
        <w:rPr>
          <w:rFonts w:ascii="Calibri" w:hAnsi="Calibri"/>
          <w:b/>
          <w:color w:val="4A6B25"/>
          <w:sz w:val="20"/>
        </w:rPr>
        <w:t xml:space="preserve">3. </w:t>
      </w:r>
      <w:r>
        <w:rPr>
          <w:rFonts w:ascii="Calibri" w:hAnsi="Calibri"/>
          <w:b w:val="0"/>
          <w:color w:val="3A4A28"/>
          <w:sz w:val="20"/>
        </w:rPr>
        <w:t>Micro-cap status ($163M market cap), leadership instability (1.2-year average tenure, 20% headcount decline), and complete dependence on crypto market conditions create existential risk if equity capital markets close during a prolonged SOL downturn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DFDV's core business — holding SOL tokens, operating Solana validators, and deploying capital through DeFi protocols — is structurally unaffected by AI disruption [2]. Validator operations are cryptographic consensus processes that AI cannot replicate or displace, and digital asset treasury management requires blockchain infrastructure, not AI inference. The company scores below IMMUNE because its business lacks physical-world or deeply regulated characteristics that define maximum AI resilience; the genuine risks are crypto-specific (SOL price volatility, protocol exploits, regulatory crackdowns) rather than AI-related. AI could potentially commoditize basic DeFi yield strategies over time. AI Opportunity (0/1): No AI-generated revenue or AI-enabled products. Operations are entirely blockchain-native.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DeFi Development Corp Q1 2026 10-Q — Revenue $2.66M, EPS -$3.18, SEC Filing / TradingView, May 2026</w:t>
      </w:r>
    </w:p>
    <w:p>
      <w:pPr>
        <w:spacing w:before="20" w:after="20"/>
        <w:ind w:left="170"/>
      </w:pPr>
      <w:r>
        <w:rPr>
          <w:rFonts w:ascii="Calibri" w:hAnsi="Calibri"/>
          <w:b/>
          <w:color w:val="4A6B25"/>
          <w:sz w:val="15"/>
        </w:rPr>
        <w:t xml:space="preserve">2. </w:t>
      </w:r>
      <w:r>
        <w:rPr>
          <w:rFonts w:ascii="Calibri" w:hAnsi="Calibri"/>
          <w:b w:val="0"/>
          <w:color w:val="3A4A28"/>
          <w:sz w:val="17"/>
        </w:rPr>
        <w:t>DeFi Development Corp SOL Holdings — 2.29M SOL, 0.0670 SPS, 108% SPS Growth, The Block / CoinGecko,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DeFi Development Corp $1B Securities Offering — S-3 Registration for Solana Acquisition, CoinTelegraph, April 2025</w:t>
      </w:r>
    </w:p>
    <w:p>
      <w:pPr>
        <w:spacing w:before="20" w:after="20"/>
        <w:ind w:left="170"/>
      </w:pPr>
      <w:r>
        <w:rPr>
          <w:rFonts w:ascii="Calibri" w:hAnsi="Calibri"/>
          <w:b/>
          <w:color w:val="4A6B25"/>
          <w:sz w:val="15"/>
        </w:rPr>
        <w:t xml:space="preserve">4. </w:t>
      </w:r>
      <w:r>
        <w:rPr>
          <w:rFonts w:ascii="Calibri" w:hAnsi="Calibri"/>
          <w:b w:val="0"/>
          <w:color w:val="3A4A28"/>
          <w:sz w:val="17"/>
        </w:rPr>
        <w:t>DeFi Development Corp Leadership Changes — Blake Janover Separation ($692.5K), Legacy Business Wind-Down, SEC 8-K, March-April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DFDV Key Statistics: Price $5.00, Market Cap $163M, ROE -589%, Revenue $15.1M TTM,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