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DFNS</w:t>
      </w:r>
      <w:r>
        <w:rPr>
          <w:rFonts w:ascii="Calibri" w:hAnsi="Calibri"/>
          <w:b/>
          <w:color w:val="1A2010"/>
          <w:sz w:val="40"/>
        </w:rPr>
        <w:t xml:space="preserve">  T3 Defense Inc.</w:t>
      </w:r>
    </w:p>
    <w:p>
      <w:pPr>
        <w:spacing w:after="120"/>
      </w:pPr>
      <w:r>
        <w:rPr>
          <w:rFonts w:ascii="Calibri" w:hAnsi="Calibri"/>
          <w:b/>
          <w:color w:val="6E8450"/>
          <w:sz w:val="18"/>
        </w:rPr>
        <w:t>GROWTH SLEEVE · 2026-09-11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Aerospace &amp; Defense · NASDAQ · United States</w:t>
      </w:r>
    </w:p>
    <w:p>
      <w:pPr>
        <w:spacing w:after="80"/>
      </w:pPr>
      <w:r>
        <w:rPr>
          <w:rFonts w:ascii="Calibri" w:hAnsi="Calibri"/>
          <w:b w:val="0"/>
          <w:color w:val="3A4A28"/>
          <w:sz w:val="20"/>
        </w:rPr>
        <w:t>T3 Defense Inc. is a federated holding company acquiring and operating small defense and aerospace businesses (Rimon, ITS, Tiltan, Star 26 Capital, Nimbus Drones, Project 35) spanning AI for defense, UAV/counter-UAS systems, 3D mapping/surveillance, and command-and-control solutions. The company is the latest identity of a corporate shell that began as Brilliant Acquisition Corp, became fintech/forex company Nukkleus Inc. (NUKK), and rebranded to T3 Defense (DFNS) on February 9, 2026 [1][3]. Six-month 2026 revenue was $7.6M (versus $0 in the prior-year period, reflecting the pivot from fintech to defense), with a $109.6M net loss attributable to stockholders driven largely by non-cash warrant-liability losses, and the company executed a 1-for-125 reverse split effective July 20, 2026 to regain Nasdaq compliance [1][3].</w:t>
      </w:r>
    </w:p>
    <w:p>
      <w:r>
        <w:rPr>
          <w:rFonts w:ascii="Calibri" w:hAnsi="Calibri"/>
          <w:b/>
          <w:color w:val="6E8450"/>
          <w:sz w:val="18"/>
        </w:rPr>
        <w:t>https://www.t3dfns.com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T3 Defense's business is a rapid string of acquisitions (Star 26 Capital, Nimbus Drones, ITS, Project 35, Rimon, Tiltan) rebranding a former fintech/forex shell into a defense holding company, but this is capital-markets-driven consolidation rather than a demonstrated operating pivot, and short-seller Fugazi Research alleges the same corporate entity has cycled through a SPAC, a blockchain-payments story, and now a defense-AI story within 30 months with two reverse splits in between [3]. AI Deployment (1/2): The portfolio is described as spanning 'AI for defense,' 3D mapping/surveillance, and UAV systems, but no customer deployment, shipped product, or quantified internal savings tied specifically to AI was disclosed [2]. Market Share (0/2): At a $16.37M market cap and single-digit-million-dollar quarterly revenue built almost entirely through recent acquisitions, T3 Defense has no demonstrated market share position in any category [3]. Product Pipeline (1/2): The company disclosed a $12.1M backlog and $12.0M of incoming RFPs across subsidiaries as of Q1 2026, with FY2026 revenue guidance of $26M — specific dollar figures, though tied to sales pipeline rather than named next-generation products [1]. R&amp;D Intensity (0/1): No R&amp;D spending or percentage-of-revenue data was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T3 Defense states it acquires and operates 'mission-critical defense businesses embedded at critical chokepoints of long-cycle national security programs,' generic holding-company language whose credibility is undermined by the entity's documented history of adopting whatever thematic identity (SPAC, blockchain payments, now defense-AI) matched the market's current interest [2][3]. Community Impact (0/2): No evidence of charitable giving or community investment was found. Employee Retention (0/2): No tenure or turnover data is available for this recently-assembled holding company. Insider Buying (0/2): CEO Menny Shalom's April 2026 'purchase' was a Note Exchange Agreement converting $2.14M of debt from the Star 26 Capital acquisition into 4.17M shares at $0.5124/share (pre-reverse-split), plus an option exercise for warrants — a non-cash debt-to-equity conversion tied to deal financing rather than a discretionary cash conviction purchase, and Shalom simultaneously serves as CEO of multiple other companies (Motomova, Hold Me Ltd, Wayerz, Mipso), which SEC filings themselves flag as a potential time and conflict-of-interest concern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only (Growth weighting). Debt-to-Equity of 9% scores at the maximum, but this reflects predominantly stock- and note-funded acquisitions rather than balance-sheet strength — Fugazi Research alleges goodwill grew from $7.6M to $100M between year-end 2025 and Q1 2026 almost entirely through paper-funded deals rather than cash flow [3]. Return on Equity of -275.59% scores at the floor (0.0), consistent with a $144.95M trailing-twelve-month net loss and an Altman Z-Score of -1.68, indicating elevated bankruptcy risk. Profit Margin, Forward P/E, Forward PEG, and both revenue-growth metrics are excluded as unavailable or not meaningful — YoY revenue comparisons are distorted because the prior-year business was an unrelated fintech operation reporting near-zero comparable revenue [1][3]. The resulting Infrastructure score is low but likely still overstates true balance-sheet risk given the metrics that cannot be captured here (negative operating cash flow of $13.30M, hyper-dilutive share issuance, and a second reverse split in under two years). Average daily volume of ~1.34M shares at $9.84 (~$13.2M/day) clears the nominal liquidity floor, though this volume reflects a highly volatile, recently-reverse-split microcap under active short-seller scrutiny rather than durable liquidity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0</w:t>
      </w:r>
      <w:r>
        <w:rPr>
          <w:rFonts w:ascii="Calibri" w:hAnsi="Calibri"/>
          <w:b w:val="0"/>
          <w:color w:val="9DAF88"/>
          <w:sz w:val="18"/>
        </w:rPr>
        <w:t xml:space="preserve"> /10</w:t>
      </w:r>
    </w:p>
    <w:p>
      <w:pPr>
        <w:spacing w:after="120"/>
      </w:pPr>
      <w:r>
        <w:rPr>
          <w:rFonts w:ascii="Calibri" w:hAnsi="Calibri"/>
          <w:b w:val="0"/>
          <w:color w:val="3A4A28"/>
          <w:sz w:val="18"/>
        </w:rPr>
        <w:t>T3 Defense is close to a pure case study in finite-game behavior: the same corporate shell has cycled through a SPAC, a blockchain/forex fintech identity (Nukkleus), and now a defense-AI holding company within roughly 30 months, executing two reverse splits and repeated dilutive share issuance along the way. Sinek would see this as chasing whatever narrative the market currently rewards rather than a consistent Just Cause, with no evidence found of courage, organizational trust, or a competitive philosophy oriented toward self-improvement.</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The stated purpose of acquiring 'mission-critical' national-security businesses cannot be distinguished from any other defense holding company's boilerplate, and the entity's own three-identity history (SPAC, fintech, defense) in under three years directly contradicts the resilience and consistency Sinek requires of a genuine cause [2][3].</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CEO Menny Shalom simultaneously leads multiple other operating companies (Motomova, Hold Me Ltd, Wayerz, Mipso), a divided-attention structure that the company's own regulatory filings flag as a potential conflict-of-interest and capacity concern, and no tenure, retention, or psychological-safety evidence was found for this newly-assembled roll-up [4].</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T3 Defense articulating a competitive philosophy toward established defense primes or peers; available commentary focuses entirely on capital-raising and acquisition activity rather than product or competitive positioning.</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While the company has technically abandoned its prior fintech/forex business for defense, independent research (Fugazi Research) alleges this and the entity's prior pivots were driven by chasing capital-markets themes and avoiding Nasdaq delisting (via serial reverse splits) rather than by a consistent Just Cause — the opposite of Sinek's model, where flexibility must be cause-driven rather than desperation-driven [3].</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was found of leadership sacrificing near-term gain for long-term capability; the visible pattern — reverse splits to maintain listing compliance, debt-to-equity note conversions, and rapid acquisition-funded revenue growth — is consistent with capital-structure management rather than principled long-term investment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T3 Defense offers speculative exposure to a hot theme — small-cap defense/AI/counter-UAS consolidation — with a stated FY2026 revenue guide of $26M, a disclosed $12.1M backlog, and $12.0M of incoming RFPs across newly-acquired subsidiaries (Rimon, ITS, Tiltan, Nimbus Drones, Project 35) benefiting from rising global defense and counter-drone spending [1]. The core AI-for-defense and UAS positioning sits in a segment structurally immune to AI disruption and benefiting from elevated geopolitical demand. CEO Menny Shalom has converted debt into equity rather than cashing out, which management may frame as alignment, though the mechanism (note exchange from deal financing) is a weak signal of genuine conviction [4].</w:t>
      </w:r>
    </w:p>
    <w:p>
      <w:pPr>
        <w:spacing w:after="120"/>
      </w:pPr>
      <w:r>
        <w:rPr>
          <w:rFonts w:ascii="Calibri" w:hAnsi="Calibri"/>
          <w:b w:val="0"/>
          <w:color w:val="3A4A28"/>
          <w:sz w:val="20"/>
        </w:rPr>
        <w:t>The bear case dominates here: this is the same corporate shell (via CIK) that has been a SPAC, then blockchain/forex fintech Nukkleus, and is now T3 Defense within roughly 30 months, executing two reverse splits (most recently 1-for-125 in July 2026) and repeated dilutive share issuance — a pattern independent research firm Fugazi Research explicitly compares to the company's prior playbook and calls 'fundamentally uninvestable at any price above zero' [3]. Trailing-twelve-month net loss of $144.95M against a $16.37M market cap, negative operating cash flow of $13.30M, and an Altman Z-Score of -1.68 indicate severe financial distress that a Return on Equity of -275.59% only partially captures. Fugazi Research further alleges goodwill ballooned from $7.6M to $100M in a single quarter through paper-funded acquisitions rather than organic cash flow, and CEO Shalom's divided attention across multiple other companies (Motomova, Hold Me Ltd, Wayerz, Mipso) is flagged in the company's own filings as a conflict-of-interest risk. Backlog-to-revenue visibility is thin (~1.9 quarters against FY2026 guidance) and neither funded-backlog status nor a TTM book-to-bill ratio is disclosed, leaving the revenue growth story dependent on continued acquisitions rather than demonstrated organic demand.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Execution against the disclosed $12.1M backlog and $12.0M RFP pipeline toward the $26M FY2026 revenue guidance, if subsidiaries can convert pipeline into recognized, funded revenue [1]</w:t>
      </w:r>
    </w:p>
    <w:p>
      <w:pPr>
        <w:spacing w:before="40" w:after="40"/>
        <w:ind w:left="283"/>
      </w:pPr>
      <w:r>
        <w:rPr>
          <w:rFonts w:ascii="Calibri" w:hAnsi="Calibri"/>
          <w:b/>
          <w:color w:val="4A6B25"/>
          <w:sz w:val="20"/>
        </w:rPr>
        <w:t xml:space="preserve">2. </w:t>
      </w:r>
      <w:r>
        <w:rPr>
          <w:rFonts w:ascii="Calibri" w:hAnsi="Calibri"/>
          <w:b w:val="0"/>
          <w:color w:val="3A4A28"/>
          <w:sz w:val="20"/>
        </w:rPr>
        <w:t>Elevated global demand for air/missile defense and counter-UAS capability amid ongoing geopolitical conflict, a genuine sector tailwind for the underlying subsidiary businesses [2]</w:t>
      </w:r>
    </w:p>
    <w:p>
      <w:pPr>
        <w:spacing w:before="40" w:after="40"/>
        <w:ind w:left="283"/>
      </w:pPr>
      <w:r>
        <w:rPr>
          <w:rFonts w:ascii="Calibri" w:hAnsi="Calibri"/>
          <w:b/>
          <w:color w:val="4A6B25"/>
          <w:sz w:val="20"/>
        </w:rPr>
        <w:t xml:space="preserve">3. </w:t>
      </w:r>
      <w:r>
        <w:rPr>
          <w:rFonts w:ascii="Calibri" w:hAnsi="Calibri"/>
          <w:b w:val="0"/>
          <w:color w:val="3A4A28"/>
          <w:sz w:val="20"/>
        </w:rPr>
        <w:t>Stabilization of the share structure following the July 2026 1-for-125 reverse split, if no further dilutive issuance follows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Independent short-seller research (Fugazi Research) alleges the company's goodwill growth, dilutive share issuance, and repeated reverse splits mirror a prior questionable playbook from the same corporate shell's fintech era, directly challenging the legitimacy of reported asset values [3]</w:t>
      </w:r>
    </w:p>
    <w:p>
      <w:pPr>
        <w:spacing w:before="40" w:after="40"/>
        <w:ind w:left="283"/>
      </w:pPr>
      <w:r>
        <w:rPr>
          <w:rFonts w:ascii="Calibri" w:hAnsi="Calibri"/>
          <w:b/>
          <w:color w:val="4A6B25"/>
          <w:sz w:val="20"/>
        </w:rPr>
        <w:t xml:space="preserve">2. </w:t>
      </w:r>
      <w:r>
        <w:rPr>
          <w:rFonts w:ascii="Calibri" w:hAnsi="Calibri"/>
          <w:b w:val="0"/>
          <w:color w:val="3A4A28"/>
          <w:sz w:val="20"/>
        </w:rPr>
        <w:t>Severe financial distress signals — Altman Z-Score of -1.68, $144.95M trailing net loss, negative operating cash flow of $13.30M — indicate meaningful bankruptcy/dilution risk that could further impair shareholders [3]</w:t>
      </w:r>
    </w:p>
    <w:p>
      <w:pPr>
        <w:spacing w:before="40" w:after="40"/>
        <w:ind w:left="283"/>
      </w:pPr>
      <w:r>
        <w:rPr>
          <w:rFonts w:ascii="Calibri" w:hAnsi="Calibri"/>
          <w:b/>
          <w:color w:val="4A6B25"/>
          <w:sz w:val="20"/>
        </w:rPr>
        <w:t xml:space="preserve">3. </w:t>
      </w:r>
      <w:r>
        <w:rPr>
          <w:rFonts w:ascii="Calibri" w:hAnsi="Calibri"/>
          <w:b w:val="0"/>
          <w:color w:val="3A4A28"/>
          <w:sz w:val="20"/>
        </w:rPr>
        <w:t>CEO Menny Shalom's simultaneous leadership of multiple unrelated companies is flagged by the company's own filings as a potential conflict-of-interest and capacity risk for a business still integrating six-plus recent acquisitions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T3 Defense's subsidiary businesses (air/missile defense, counter-UAS, UAVs, defense engineering) operate in a physically-delivered, regulated, national-security-critical space that AI cannot substitute, and a company building AI-for-defense capability cannot itself be structurally disrupted by AI [2]. AI Opportunity (0/1): While the portfolio is described as spanning 'AI for defense,' no subsidiary discloses AI-specific revenue, product shipments, or quantified figures distinct from aggregate holding-company revenue, so no tiebreaker point is awarded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T3 Defense Inc. Q1/H1 2026 Financial Results and 10-Q — Revenue $7.6M (six months), Net Loss $109.6M, Backlog $12.1M, FY2026 Revenue Guidance $26M — TradingView, SEC EDGAR, StockTitan, 2026</w:t>
      </w:r>
    </w:p>
    <w:p>
      <w:pPr>
        <w:spacing w:before="20" w:after="20"/>
        <w:ind w:left="170"/>
      </w:pPr>
      <w:r>
        <w:rPr>
          <w:rFonts w:ascii="Calibri" w:hAnsi="Calibri"/>
          <w:b/>
          <w:color w:val="4A6B25"/>
          <w:sz w:val="15"/>
        </w:rPr>
        <w:t xml:space="preserve">2. </w:t>
      </w:r>
      <w:r>
        <w:rPr>
          <w:rFonts w:ascii="Calibri" w:hAnsi="Calibri"/>
          <w:b w:val="0"/>
          <w:color w:val="3A4A28"/>
          <w:sz w:val="17"/>
        </w:rPr>
        <w:t>T3 Defense Inc. Corporate Overview — AI for Defense, UAS, Counter-UAS Portfolio (Rimon, ITS, Tiltan, Star 26 Capital, Nimbus Drones, Project 35) — T3dfns.com, Barchart, Crunchbase, Zacks Small Cap Research CEO Chat with Menny Shalom</w:t>
      </w:r>
    </w:p>
    <w:p>
      <w:pPr>
        <w:spacing w:before="20" w:after="20"/>
        <w:ind w:left="170"/>
      </w:pPr>
      <w:r>
        <w:rPr>
          <w:rFonts w:ascii="Calibri" w:hAnsi="Calibri"/>
          <w:b/>
          <w:color w:val="4A6B25"/>
          <w:sz w:val="15"/>
        </w:rPr>
        <w:t xml:space="preserve">3. </w:t>
      </w:r>
      <w:r>
        <w:rPr>
          <w:rFonts w:ascii="Calibri" w:hAnsi="Calibri"/>
          <w:b w:val="0"/>
          <w:color w:val="3A4A28"/>
          <w:sz w:val="17"/>
        </w:rPr>
        <w:t>Fugazi Research — 'From Reverse Splits to Goodwill Surge' and 'DFNS: Running Back the Same Ruthless Scheme' — TradingView/Benzinga, Fugaziresearch.com, August 2026</w:t>
      </w:r>
    </w:p>
    <w:p>
      <w:pPr>
        <w:spacing w:before="20" w:after="20"/>
        <w:ind w:left="170"/>
      </w:pPr>
      <w:r>
        <w:rPr>
          <w:rFonts w:ascii="Calibri" w:hAnsi="Calibri"/>
          <w:b/>
          <w:color w:val="4A6B25"/>
          <w:sz w:val="15"/>
        </w:rPr>
        <w:t xml:space="preserve">4. </w:t>
      </w:r>
      <w:r>
        <w:rPr>
          <w:rFonts w:ascii="Calibri" w:hAnsi="Calibri"/>
          <w:b w:val="0"/>
          <w:color w:val="3A4A28"/>
          <w:sz w:val="17"/>
        </w:rPr>
        <w:t>StockTitan — T3 Defense Inc. Form 4 Insider Trading Activity (Menny Shalom Note Exchange and Option Exercise), April 2026</w:t>
      </w:r>
    </w:p>
    <w:p>
      <w:pPr>
        <w:spacing w:before="20" w:after="20"/>
        <w:ind w:left="170"/>
      </w:pPr>
      <w:r>
        <w:rPr>
          <w:rFonts w:ascii="Calibri" w:hAnsi="Calibri"/>
          <w:b/>
          <w:color w:val="4A6B25"/>
          <w:sz w:val="15"/>
        </w:rPr>
        <w:t xml:space="preserve">5. </w:t>
      </w:r>
      <w:r>
        <w:rPr>
          <w:rFonts w:ascii="Calibri" w:hAnsi="Calibri"/>
          <w:b w:val="0"/>
          <w:color w:val="3A4A28"/>
          <w:sz w:val="17"/>
        </w:rPr>
        <w:t>StockAnalysis.com — DFNS Key Statistics,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