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DHC</w:t>
      </w:r>
      <w:r>
        <w:rPr>
          <w:rFonts w:ascii="Calibri" w:hAnsi="Calibri"/>
          <w:b/>
          <w:color w:val="1A2010"/>
          <w:sz w:val="40"/>
        </w:rPr>
        <w:t xml:space="preserve">  Diversified Healthcare Trust</w:t>
      </w:r>
    </w:p>
    <w:p>
      <w:pPr>
        <w:spacing w:after="120"/>
      </w:pPr>
      <w:r>
        <w:rPr>
          <w:rFonts w:ascii="Calibri" w:hAnsi="Calibri"/>
          <w:b/>
          <w:color w:val="6E8450"/>
          <w:sz w:val="18"/>
        </w:rPr>
        <w:t>GROWTH SLEEVE · 2026-09-10 · Inspire: 40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Healthcare Facilities · NASDAQ · United States</w:t>
      </w:r>
    </w:p>
    <w:p>
      <w:pPr>
        <w:spacing w:after="80"/>
      </w:pPr>
      <w:r>
        <w:rPr>
          <w:rFonts w:ascii="Calibri" w:hAnsi="Calibri"/>
          <w:b w:val="0"/>
          <w:color w:val="3A4A28"/>
          <w:sz w:val="20"/>
        </w:rPr>
        <w:t>Diversified Healthcare Trust is a real estate investment trust focused on owning healthcare properties throughout the United States. DHC's approximately $7.2 billion portfolio includes over 367 properties in 36 states and Washington, D.C., serving approximately 450 tenants across medical office, life science, and senior living communities with more than 27,000 units. Managed externally by The RMR Group. Market cap ~$1.8B.</w:t>
      </w:r>
    </w:p>
    <w:p>
      <w:r>
        <w:rPr>
          <w:rFonts w:ascii="Calibri" w:hAnsi="Calibri"/>
          <w:b/>
          <w:color w:val="6E8450"/>
          <w:sz w:val="18"/>
        </w:rPr>
        <w:t>600 Employees · https://www.dhcreit.com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DHC's operational turnaround is gaining momentum — SHOP same-property NOI jumped 13.5% in Q1 2026 driven by rate hikes and successful operator transitions, with occupancy rising to 81.5% (+210bps YoY) [1]. Normalized FFO surged 131% YoY to $0.14/share in Q1 2026, and the company raised full-year 2026 FFO guidance to $0.52-$0.58/share [1]. The 116 community transitions from AlerisLife are complete. AI Deployment (0/2): No evidence of AI-powered products or quantified AI-driven operational improvements; DHC is externally managed by RMR Group using traditional real estate management [3]. Market Share (1/2): DHC operates 285 healthcare properties worth ~$6.2B, a meaningful portfolio but not a category leader versus Welltower or Ventas [1][3]. Pipeline (1/2): Medical Office and Life Science portfolio shows robust leasing momentum with rents 9% above prior rates and occupancy rising to 86.6%; 2026 capex guidance of $100-115M signals continued property investment [1]. R&amp;D Intensity (0/1): As a REIT, no R&amp;D spending; value creation comes through property management and capital allocation.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DHC's purpose — owning healthcare properties that serve seniors and healthcare providers — connects to the genuine societal need of caring for an aging U.S. population across 27,000+ senior living units [3]. Board diversity is strong: 71% independent, 43% women, 29% underrepresented communities [3]. Community Impact (1/2): 285 properties serving 27,000+ senior living units and healthcare tenants across 33 states provide essential infrastructure for healthcare delivery, and RMR has been recognized as an EPA ENERGY STAR Partner of the Year [3]. Employee Retention (1/2): DHC is externally managed by RMR Group, recognized by The Boston Globe as a 'Top Place to Work' with nearly 900 real estate professionals [3]. External management provides professional stability but creates alignment questions. Insider Buying (1/2): CEO Chris Bilotto purchased 20,000 shares at $4.886 in December 2025 ($97,800), increasing ownership by 8.12% — a meaningful signal of confidence during the turnaround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DHC remains GAAP-unprofitable despite accelerating operational improvement. Q2 2026 revenue of $365.4M declined 4.5% YoY (from $382.7M), with total revenue declining due to strategic asset sales even as SHOP comparable communities posted 6.6% revenue growth [5]. Profit margin remains deeply negative (~-15%), scoring 0.0. ROE of -18.75% scores 0.0 at 2x weight. No forward P/E available as GAAP earnings remain negative. D/E of ~148% is moderate for a healthcare REIT — (300-148)/230 = 0.66. Revenue growth 5yr CAGR of ~6.2% scores 0.75 at 2x weight. Net debt/EBITDA improved to 7.1x from 8.7x a year ago, and Q2 FFO surged 109% YoY [5]. Full-year 2026 guidance of NOI $297-313M and Normalized FFO $125-140M ($0.52-$0.58/share) shows the path to profitability [5]. Liquidity floor cleared: $7.60 x 2M avg daily volume = $15.2M.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DHC demonstrates mixed infinite game characteristics — the healthcare mission provides genuine long-term purpose, and the operational turnaround shows willingness to invest through years of losses ($949M+ cumulative from 2022-2025). However, the externally managed REIT structure (RMR Group) creates inherent principal-agent tensions, and 2026's strategic focus on rolling out CRM platforms, differentiated care levels, and dynamic pricing suggests near-term operational optimization rather than a transcendent long-term vision.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DHC's purpose — providing healthcare properties for seniors and medical professionals — connects to the genuine societal need of caring for an aging population [3]. The board's commitment to ESG with SASB-aligned sustainability metrics demonstrates some cause-driven governance [3]. However, as an externally managed REIT, operational decisions are made by RMR Group (which manages multiple REITs), diluting Just Cause focus. The cause exists but is partially lived through an intermediary structure.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RMR Group has been recognized as a 'Top Place to Work' by The Boston Globe with 900 real estate professionals across 30+ offices [3]. Board diversity is strong: 71% independent, 43% women, 29% underrepresented communities. However, the external management model inherently limits trust alignment — RMR earns management fees regardless of DHC's stock performance. CEO Bilotto's insider buying at $4.89 in December 2025 partially mitigates this structural concern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No evidence of DHC explicitly acknowledging Welltower, Ventas, or other healthcare REIT competitors as worthy rivals from whom it learns. Public communications focus on internal turnaround execution — SHOP NOI growth, operator transitions, leasing momentum — rather than competitive self-improvement or industry collaboration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DHC has demonstrated meaningful strategic evolution — completing 116 community transitions from AlerisLife, signing new operators like Discovery Senior Living, selling assets to eliminate 2025-2026 zero-coupon bonds, and pivoting from passive lease income to active SHOP management [1][3]. The portfolio has been reshaped from 335 properties to 285 through strategic dispositions. These represent significant adaptations, though the core business model remains a healthcare REIT.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DHC management maintained investment in the senior housing turnaround despite cumulative losses exceeding $949M from 2022-2025 [2]. The decision to transition operators and restructure rather than liquidating at distressed prices showed commitment to long-term value. CEO Bilotto's $98K personal stock purchase at $4.89 demonstrated skin-in-the-game conviction [4]. The massive asset sales to eliminate bond maturities showed decisive balance sheet management.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DHC is a healthcare REIT turnaround with accelerating operational momentum — Q2 2026 FFO surged 109% YoY with SHOP comparable communities posting 6.6% revenue growth on higher occupancy and rates [5]. Full-year 2026 guidance of NOI $297-313M and Normalized FFO $125-140M ($0.52-$0.58/share) was maintained. Net debt/EBITDA improved sharply to 7.1x from 8.7x a year ago, demonstrating meaningful balance sheet healing [5]. At $7.60 (down from $8.93 in July), the stock trades at a deeper discount to portfolio value. The Medical Office and Life Science portfolio shows strong leasing momentum with rents 9% above prior rates and occupancy at 86.6% [1]. An aging U.S. baby boomer population provides a structural demographic tailwind for senior housing demand across DHC's 27,000+ units.</w:t>
      </w:r>
    </w:p>
    <w:p>
      <w:pPr>
        <w:spacing w:after="120"/>
      </w:pPr>
      <w:r>
        <w:rPr>
          <w:rFonts w:ascii="Calibri" w:hAnsi="Calibri"/>
          <w:b w:val="0"/>
          <w:color w:val="3A4A28"/>
          <w:sz w:val="20"/>
        </w:rPr>
        <w:t>The bear case centers on persistent GAAP losses, revenue decline, and structural governance concerns. DHC has posted cumulative net losses exceeding $949M from 2022-2025, and forward P/E remains unavailable because GAAP earnings are still negative [2]. Q2 2026 total revenue declined 4.5% to $365.4M, missing estimates of $377.8M, even though comparable SHOP communities showed organic growth — the portfolio is shrinking through asset sales [5]. The external management structure through RMR Group creates principal-agent conflicts — RMR earns fees regardless of DHC stock performance. ROE of -18.75% is deeply negative, and the token $0.04 annual dividend (0.53% yield) signals inability to return meaningful capital. Management acknowledged 'operational noise' during ongoing portfolio transitions, suggesting near-term execution remains uneven [5]. D/E of ~148% constrains financial flexibility for new acquisitions.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SHOP same-property NOI acceleration continuing through 2026 driven by occupancy expansion toward 85%+ and 4-6% average rate increases on transitioned properties, with full-year FFO guidance of $0.52-$0.58/share [1]</w:t>
      </w:r>
    </w:p>
    <w:p>
      <w:pPr>
        <w:spacing w:before="40" w:after="40"/>
        <w:ind w:left="283"/>
      </w:pPr>
      <w:r>
        <w:rPr>
          <w:rFonts w:ascii="Calibri" w:hAnsi="Calibri"/>
          <w:b/>
          <w:color w:val="4A6B25"/>
          <w:sz w:val="20"/>
        </w:rPr>
        <w:t xml:space="preserve">2. </w:t>
      </w:r>
      <w:r>
        <w:rPr>
          <w:rFonts w:ascii="Calibri" w:hAnsi="Calibri"/>
          <w:b w:val="0"/>
          <w:color w:val="3A4A28"/>
          <w:sz w:val="20"/>
        </w:rPr>
        <w:t>U.S. demographic tailwind — aging baby boomer population structurally increasing demand for 27,000+ senior living units across DHC's portfolio over the next decade [3]</w:t>
      </w:r>
    </w:p>
    <w:p>
      <w:pPr>
        <w:spacing w:before="40" w:after="40"/>
        <w:ind w:left="283"/>
      </w:pPr>
      <w:r>
        <w:rPr>
          <w:rFonts w:ascii="Calibri" w:hAnsi="Calibri"/>
          <w:b/>
          <w:color w:val="4A6B25"/>
          <w:sz w:val="20"/>
        </w:rPr>
        <w:t xml:space="preserve">3. </w:t>
      </w:r>
      <w:r>
        <w:rPr>
          <w:rFonts w:ascii="Calibri" w:hAnsi="Calibri"/>
          <w:b w:val="0"/>
          <w:color w:val="3A4A28"/>
          <w:sz w:val="20"/>
        </w:rPr>
        <w:t>Path to GAAP profitability — as NOI growth continues and interest expense falls (down 36% YoY in Q1 2026), crossover to positive GAAP earnings could trigger significant re-rating and dividend restoration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GAAP losses — cumulative $949M+ net losses from 2022-2025 with forward EPS still negative, raising questions about the timeline to sustainable profitability [2]</w:t>
      </w:r>
    </w:p>
    <w:p>
      <w:pPr>
        <w:spacing w:before="40" w:after="40"/>
        <w:ind w:left="283"/>
      </w:pPr>
      <w:r>
        <w:rPr>
          <w:rFonts w:ascii="Calibri" w:hAnsi="Calibri"/>
          <w:b/>
          <w:color w:val="4A6B25"/>
          <w:sz w:val="20"/>
        </w:rPr>
        <w:t xml:space="preserve">2. </w:t>
      </w:r>
      <w:r>
        <w:rPr>
          <w:rFonts w:ascii="Calibri" w:hAnsi="Calibri"/>
          <w:b w:val="0"/>
          <w:color w:val="3A4A28"/>
          <w:sz w:val="20"/>
        </w:rPr>
        <w:t>External management structure conflicts — RMR Group earns management fees regardless of DHC stock performance, creating misaligned incentives and limiting direct accountability for shareholder returns [3]</w:t>
      </w:r>
    </w:p>
    <w:p>
      <w:pPr>
        <w:spacing w:before="40" w:after="40"/>
        <w:ind w:left="283"/>
      </w:pPr>
      <w:r>
        <w:rPr>
          <w:rFonts w:ascii="Calibri" w:hAnsi="Calibri"/>
          <w:b/>
          <w:color w:val="4A6B25"/>
          <w:sz w:val="20"/>
        </w:rPr>
        <w:t xml:space="preserve">3. </w:t>
      </w:r>
      <w:r>
        <w:rPr>
          <w:rFonts w:ascii="Calibri" w:hAnsi="Calibri"/>
          <w:b w:val="0"/>
          <w:color w:val="3A4A28"/>
          <w:sz w:val="20"/>
        </w:rPr>
        <w:t>Healthcare labor cost inflation — senior living operations are labor-intensive, and persistent healthcare worker wage pressure could limit margin expansion even as occupancy improves, capping the NOI growth trajectory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DHC's core business — owning and operating physical senior living communities and medical office buildings — is structurally immune to AI disruption [3]. Senior care requires hands-on human interaction for daily activities, medication management, social engagement, and emergency response that AI cannot substitute. Medical office properties are essential physical infrastructure for in-person healthcare delivery. An aging U.S. population structurally increases demand for senior housing regardless of AI advancement. The advanced CRM platforms and dynamic pricing strategies being rolled out may incorporate AI enhancements but this improves rather than threatens operations [1]. AI Opportunity (0/1): No evidence of AI-generated revenue; neither DHC nor its manager RMR Group has disclosed AI products or quantifiable AI-driven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Diversified Healthcare Trust Q1 2026 Earnings Release — SHOP NOI +13.5%, occupancy 81.5% (+210bps YoY), normalized FFO $0.14/share (+131% YoY), interest expense -36%, 2026 guidance $0.52-$0.58 FFO/share, May 2026</w:t>
      </w:r>
    </w:p>
    <w:p>
      <w:pPr>
        <w:spacing w:before="20" w:after="20"/>
        <w:ind w:left="170"/>
      </w:pPr>
      <w:r>
        <w:rPr>
          <w:rFonts w:ascii="Calibri" w:hAnsi="Calibri"/>
          <w:b/>
          <w:color w:val="4A6B25"/>
          <w:sz w:val="15"/>
        </w:rPr>
        <w:t xml:space="preserve">2. </w:t>
      </w:r>
      <w:r>
        <w:rPr>
          <w:rFonts w:ascii="Calibri" w:hAnsi="Calibri"/>
          <w:b w:val="0"/>
          <w:color w:val="3A4A28"/>
          <w:sz w:val="17"/>
        </w:rPr>
        <w:t>StockAnalysis.com — DHC revenue, stock price $7.60, market cap $1.82B, D/E 148%, P/E -6.87,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DHC Corporate Website / RMR Group — portfolio overview ($7.2B, 367+ properties, 36 states), board diversity (71% independent, 43% women), EPA Energy Star, SASB metrics,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MarketBeat / StockTitan — CEO Chris Bilotto insider purchase 20,000 shares at $4.886, 2026 proxy, December 2025 - May 2026</w:t>
      </w:r>
    </w:p>
    <w:p>
      <w:pPr>
        <w:spacing w:before="20" w:after="20"/>
        <w:ind w:left="170"/>
      </w:pPr>
      <w:r>
        <w:rPr>
          <w:rFonts w:ascii="Calibri" w:hAnsi="Calibri"/>
          <w:b/>
          <w:color w:val="4A6B25"/>
          <w:sz w:val="15"/>
        </w:rPr>
        <w:t xml:space="preserve">5. </w:t>
      </w:r>
      <w:r>
        <w:rPr>
          <w:rFonts w:ascii="Calibri" w:hAnsi="Calibri"/>
          <w:b w:val="0"/>
          <w:color w:val="3A4A28"/>
          <w:sz w:val="17"/>
        </w:rPr>
        <w:t>Diversified Healthcare Trust Q2 2026 Earnings Release — Revenue $365.4M (-4.5% YoY), EPS $0.16 (beat -$0.15 estimate), FFO +109% YoY, SHOP comparable revenue +6.6%, net debt/EBITDA 7.1x, guidance affirmed NOI $297-313M / FFO $125-140M,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