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DHR</w:t>
      </w:r>
      <w:r>
        <w:rPr>
          <w:rFonts w:ascii="Calibri" w:hAnsi="Calibri"/>
          <w:b/>
          <w:color w:val="1A2010"/>
          <w:sz w:val="40"/>
        </w:rPr>
        <w:t xml:space="preserve">  Danaher Corporation</w:t>
      </w:r>
    </w:p>
    <w:p>
      <w:pPr>
        <w:spacing w:after="120"/>
      </w:pPr>
      <w:r>
        <w:rPr>
          <w:rFonts w:ascii="Calibri" w:hAnsi="Calibri"/>
          <w:b/>
          <w:color w:val="6E8450"/>
          <w:sz w:val="18"/>
        </w:rPr>
        <w:t>GROWTH SLEEVE · 2026-08-31 · Inspire: -75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NYSE · United States</w:t>
      </w:r>
    </w:p>
    <w:p>
      <w:pPr>
        <w:spacing w:after="80"/>
      </w:pPr>
      <w:r>
        <w:rPr>
          <w:rFonts w:ascii="Calibri" w:hAnsi="Calibri"/>
          <w:b w:val="0"/>
          <w:color w:val="3A4A28"/>
          <w:sz w:val="20"/>
        </w:rPr>
        <w:t>Danaher Corporation is a global life sciences and diagnostics innovator operating through three segments: Biotechnology (Cytiva, Pall), Life Sciences (Beckman Coulter Life Sciences, Leica Microsystems, SCIEX), and Diagnostics (Beckman Coulter Diagnostics, Cepheid, Radiometer). The company completed the Veralto spinoff in 2023 to become a pure-play life sciences platform. Q2 2026 revenue of $6.3B (+5.5% YoY) with net earnings of $870M (+60% YoY) and raised FY2026 adjusted EPS guidance to $8.45-$8.60. Bioprocessing orders growing mid-teens. Founded in 1984 by Steven and Mitchell Rales, headquartered in Washington, D.C. Market cap of approximately $160B.</w:t>
      </w:r>
    </w:p>
    <w:p>
      <w:r>
        <w:rPr>
          <w:rFonts w:ascii="Calibri" w:hAnsi="Calibri"/>
          <w:b/>
          <w:color w:val="6E8450"/>
          <w:sz w:val="18"/>
        </w:rPr>
        <w:t>60,000 Employees · https://www.danaher.com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Danaher executed two transformative divestitures — Fortive (2016) and Veralto (2023) — to evolve from an industrial conglomerate into a pure-play life sciences company, fundamentally reshaping the business [1]. The $5.7B Abcam acquisition in 2023 expanded proteomics capabilities, and bioprocessing orders continue growing mid-teens in Q2 2026 in both consumables and equipment, confirming the recovery from the post-COVID destocking cycle [1]. Q2 2026 core revenue grew 3% (4.5% ex-respiratory testing), accelerating from 0.5% in Q1. AI Deployment (1/2): Danaher appointed Martin Stumpe as Chief Technology and AI Officer in June 2025, a former Google Cancer Pathology founder and NASA researcher [2]. The company is actively integrating AI into R&amp;D processes to accelerate drug discovery, reduce clinical trial failure rates, and enhance diagnostic precision through its 'DBS for AI, and AI for DBS' strategy [2]. No quantified AI revenue yet. Market Share (2/2): Danaher holds dominant or leading positions across multiple life sciences categories — Cytiva is a top-2 bioprocessing platform, Beckman Coulter is a diagnostics leader, Cepheid dominates molecular point-of-care testing, and SCIEX leads in mass spectrometry [1][3]. Product Pipeline (1/2): Mid-teens bioprocessing order growth in Q2 2026 signals strong near-term pipeline, and CEO Blair describes the company as in 'early innings of a multi-year CapEx cycle' driven by reshoring and capacity needs [1]. However, no specific next-gen products with named launch dates were disclosed. R&amp;D Intensity (1/1): R&amp;D spending is significant across all three segments, with life sciences instrumentation requiring sustained investment. The appointment of a dedicated Chief Technology and AI Officer signals above-average R&amp;D commitment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Danaher's purpose — 'accelerating science and technology to improve human health' — is specific, connects to healthcare outcomes, and has been validated by a decade of strategic execution: spinning off industrial businesses, acquiring life sciences platforms (Cytiva, Pall, Cepheid, Abcam), and building a $140B pure-play healthcare company [3]. The Danaher Business System (DBS), established in 1988, provides an operational framework that has been proven through multiple business cycles and corporate transformations. However, the purpose was evolved over time rather than founding (the company started as a real estate trust), preventing a score of 4. Community Impact (1/2): The Beacons Initiative (2022) invests in pioneering academic research for health applications, Danaher Ventures supports emerging biotech companies like Blue Whale Bio in cell and gene therapy, and the company collaborates on CRISPR research for rare diseases [3]. These are meaningful but primarily business-adjacent investments rather than broad community philanthropy. Employee Retention (1/2): The Danaher Business System creates a distinctive organizational culture across 60,000 employees that is widely recognized as a competitive advantage and retention driver, but no specific turnover or tenure metrics are publicly reported [3]. Insider Buying (0/2): Significant net insider selling in November 2025 — Chairman Mitchell Rales sold $95.6M in shares, CFO McGrew sold $3.5M, and General Counsel Ellis sold $4.8M [4]. No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(dividend yield of 0.56% is below 2% threshold, so classified as Growth despite payment history). Balance sheet strength is a standout: D/E of 35% is well below the 70% target with $5.7B cash against $18.5B total debt, supported by $52.96B in equity [1][2]. However, profitability metrics underperform targets: ROE of 7.1% is below the 15% target, depressed by the massive goodwill-heavy asset base ($83.5B total assets) from serial acquisitions. Profit margin of 14.9% is solid but below the 20% target. Revenue growth accelerated to 5.5% YoY in Q2 2026 (core revenue +3%, +4.5% ex-respiratory) with raised FY2026 guidance to 3-4% core growth and adjusted EPS of $8.45-$8.60 [1]. Forward P/E of 23.1x is modestly above the 20x target, and PEG of 2.59 reflects premium valuation relative to near-term growth. EPS growth of 19.75% in Q2 and net earnings up 60% YoY to $870M demonstrate improving trajectory. Free cash flow of $5.3B+ annually provides quality underpinning.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Danaher is a textbook infinite game player. The company has demonstrated extraordinary existential flexibility — transforming from a real estate trust to industrial tools to a broad technology conglomerate to a pure-play life sciences platform over four decades, each pivot deliberately moving toward healthcare impact. The Danaher Business System provides the operational backbone for enduring execution, and the willingness to spin off profitable businesses (Fortive, Veralto) in service of the healthcare mission exemplifies Sinek's concept of courage to lead. The Rales brothers' 40-year stewardship provides founder-led continuity rare among companies of this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Danaher's purpose — 'accelerating science and technology to improve human health' — is genuine and has been validated by a decade of strategic execution that systematically shed non-healthcare businesses to build a pure-play life sciences company [3]. The Danaher Business System, established in 1988, provides a consistent operational philosophy that has endured across four decades and multiple business transformations. However, this was not the founding purpose — the company started as a real estate trust and evolved through industrial tools — so the cause was developed rather than founding, preventing a perfect score. Strategic decisions (Fortive spinoff, Veralto spinoff, Abcam acquisition) clearly trace back to the healthcare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Danaher Business System creates organizational stability and a shared continuous improvement culture across 60,000 employees, providing a common language and methodology that fosters alignment [3]. Leadership continuity is strong — the Rales brothers remain involved after 40+ years, and CEO Blair has been in place since 2020. However, DBS can also create a process-heavy environment that may limit creativity and psychological safety. The company's acquisition-heavy model means cultural integration is a constant challenge. No specific evidence of exceptional trust or empowerment beyond the DBS framework.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Danaher operates in a competitive landscape with Thermo Fisher Scientific, Agilent Technologies, and Roche Diagnostics, and the company's approach is improvement-focused rather than zero-sum. The acquisition and continuous improvement model — buying companies and making them better through DBS — reflects a mindset of learning and enhancement rather than destroying competitors [3]. Management's competitive language focuses on 'solving customer challenges' and 'advancing science' rather than defeating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Danaher has fundamentally reinvented itself multiple times — from a real estate trust to industrial tools (1980s), to a broad science and technology conglomerate (2000s), to spinning off Fortive ($20B+ market cap, 2016) and Veralto (2023) to become a pure-play life sciences and diagnostics company [1][3]. Each transformation was deliberate and driven by a strategic vision rather than desperation. The willingness to spin off profitable businesses that no longer fit the healthcare mission is precisely what Sinek means by existential flexibility — sacrificing short-term revenue for long-term alignment with the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Danaher has demonstrated a pattern of courageous capital allocation: spending $5.7B to acquire Abcam during a bioprocessing downturn (2023), spinning off profitable Veralto ($5B+ revenue) to sharpen the life sciences focus, and maintaining R&amp;D investment during the post-COVID bioprocessing destocking cycle when competitors pulled back [1]. CEO Blair raised FY2026 EPS guidance even as core revenue growth was only 0.5%, showing confidence in the long-term bioprocessing recovery. The Rales brothers' consistent reinvestment of personal wealth into the company across four decades demonstrates enduring leadership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Danaher is a premier life sciences franchise with approximately $160B market cap, $24.8B TTM revenue, and Q2 2026 revenue of $6.3B (+5.5% YoY) with net earnings of $870M (+60% YoY) and adjusted EPS of $1.94 (+8%) [1]. Bioprocessing orders are growing mid-teens in both consumables and equipment, confirming the recovery CEO Blair describes as 'early innings of a multi-year CapEx cycle' driven by reshoring and capacity needs. The company raised FY2026 adjusted EPS guidance to $8.45-$8.60 and core revenue growth outlook to 3-4%. The Danaher Business System provides a proven operational framework for continuous improvement, and the Chief Technology and AI Officer is integrating AI across drug discovery, diagnostics, and bioprocessing [2]. With dominant positions in bioprocessing (Cytiva), diagnostics (Beckman Coulter, Cepheid), and genomics (Leica, SCIEX), Danaher is positioned at the intersection of secular healthcare growth and AI-enabled scientific discovery.</w:t>
      </w:r>
    </w:p>
    <w:p>
      <w:pPr>
        <w:spacing w:after="120"/>
      </w:pPr>
      <w:r>
        <w:rPr>
          <w:rFonts w:ascii="Calibri" w:hAnsi="Calibri"/>
          <w:b w:val="0"/>
          <w:color w:val="3A4A28"/>
          <w:sz w:val="20"/>
        </w:rPr>
        <w:t>The primary concern is valuation relative to near-term growth. At 34.7x trailing earnings and 23.1x forward P/E with a PEG of 2.59, Danaher is priced for a bioprocessing recovery that is accelerating but still modest — core revenue grew 3% in Q2 2026 (4.5% ex-respiratory), and approximately $100M in chromatography resin revenue shifted from 2026 into 2027 due to customer site readiness [1]. ROE of 7.1% is depressed by the $83.5B asset base heavy with acquisition goodwill, and profit margin of 14.9% lags the 20% target. Insider selling is notable — Chairman Rales sold $95.6M in shares in November 2025 [4]. The Inspire Impact Score of -75 (MISALIGNED) with negative attributions for Embryonic Stem Cells and LGBT Activism may limit allocation for faith-based investors despite strong business fundamentals. The $219 stock price embeds significant recovery expectations, and any slowdown in biopharma capital spending could delay the multi-year CapEx cycle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Bioprocessing recovery deepening with mid-teens order growth in both consumables and equipment in Q2 2026, and CEO Blair describing 'early innings of a multi-year CapEx cycle' driven by reshoring and capacity needs — revenue conversion should accelerate as orders translate to shipments [1]</w:t>
      </w:r>
    </w:p>
    <w:p>
      <w:pPr>
        <w:spacing w:before="40" w:after="40"/>
        <w:ind w:left="283"/>
      </w:pPr>
      <w:r>
        <w:rPr>
          <w:rFonts w:ascii="Calibri" w:hAnsi="Calibri"/>
          <w:b/>
          <w:color w:val="4A6B25"/>
          <w:sz w:val="20"/>
        </w:rPr>
        <w:t xml:space="preserve">2. </w:t>
      </w:r>
      <w:r>
        <w:rPr>
          <w:rFonts w:ascii="Calibri" w:hAnsi="Calibri"/>
          <w:b w:val="0"/>
          <w:color w:val="3A4A28"/>
          <w:sz w:val="20"/>
        </w:rPr>
        <w:t>AI integration across Danaher platforms under Chief Technology and AI Officer Martin Stumpe (ex-Google Cancer Pathology), with 'DBS for AI, and AI for DBS' strategy potentially creating AI-enhanced diagnostics and drug discovery tools that command premium pricing [2]</w:t>
      </w:r>
    </w:p>
    <w:p>
      <w:pPr>
        <w:spacing w:before="40" w:after="40"/>
        <w:ind w:left="283"/>
      </w:pPr>
      <w:r>
        <w:rPr>
          <w:rFonts w:ascii="Calibri" w:hAnsi="Calibri"/>
          <w:b/>
          <w:color w:val="4A6B25"/>
          <w:sz w:val="20"/>
        </w:rPr>
        <w:t xml:space="preserve">3. </w:t>
      </w:r>
      <w:r>
        <w:rPr>
          <w:rFonts w:ascii="Calibri" w:hAnsi="Calibri"/>
          <w:b w:val="0"/>
          <w:color w:val="3A4A28"/>
          <w:sz w:val="20"/>
        </w:rPr>
        <w:t>Continued M&amp;A deployment of $5.3B+ annual free cash flow into high-growth life sciences adjacencies (gene therapy, proteomics, spatial biology) using the proven DBS continuous improvement playbook, with raised FY2026 EPS guidance to $8.45-$8.60 providing earnings visibility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2.59 and 23.1x forward P/E embed significant recovery expectations — the $100M chromatography resin shipment slip from 2026 to 2027 demonstrates that order-to-revenue conversion remains lumpy and execution-dependent [1]</w:t>
      </w:r>
    </w:p>
    <w:p>
      <w:pPr>
        <w:spacing w:before="40" w:after="40"/>
        <w:ind w:left="283"/>
      </w:pPr>
      <w:r>
        <w:rPr>
          <w:rFonts w:ascii="Calibri" w:hAnsi="Calibri"/>
          <w:b/>
          <w:color w:val="4A6B25"/>
          <w:sz w:val="20"/>
        </w:rPr>
        <w:t xml:space="preserve">2. </w:t>
      </w:r>
      <w:r>
        <w:rPr>
          <w:rFonts w:ascii="Calibri" w:hAnsi="Calibri"/>
          <w:b w:val="0"/>
          <w:color w:val="3A4A28"/>
          <w:sz w:val="20"/>
        </w:rPr>
        <w:t>ROE of 7.1% reflects a goodwill-heavy balance sheet from serial acquisitions ($83.5B total assets) — future large acquisitions carry integration risk and could further dilute returns on capital at the current ~$160B valuation</w:t>
      </w:r>
    </w:p>
    <w:p>
      <w:pPr>
        <w:spacing w:before="40" w:after="40"/>
        <w:ind w:left="283"/>
      </w:pPr>
      <w:r>
        <w:rPr>
          <w:rFonts w:ascii="Calibri" w:hAnsi="Calibri"/>
          <w:b/>
          <w:color w:val="4A6B25"/>
          <w:sz w:val="20"/>
        </w:rPr>
        <w:t xml:space="preserve">3. </w:t>
      </w:r>
      <w:r>
        <w:rPr>
          <w:rFonts w:ascii="Calibri" w:hAnsi="Calibri"/>
          <w:b w:val="0"/>
          <w:color w:val="3A4A28"/>
          <w:sz w:val="20"/>
        </w:rPr>
        <w:t>Bioprocessing market is tied to biotech funding cycles — a sustained venture capital downturn or FDA regulatory slowdown could interrupt the multi-year CapEx cycle thesis, and insider selling ($95.6M by Chairman Rales in November 2025) suggests insiders may share valuation concerns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Danaher's core business — physical life sciences instrumentation, bioprocessing consumables, and diagnostic equipment — is inherently protected from AI substitution [1]. Bioprocessing (Cytiva) requires physical bioreactors, chromatography columns, and filtration systems to manufacture biologic drugs; AI cannot replace the physical production of monoclonal antibodies or cell therapies. Diagnostics (Beckman Coulter, Cepheid) require physical sample processing and regulatory-cleared hardware. The company benefits from installed base consumable pull-through that creates recurring revenue moats. AI could theoretically accelerate drug discovery (reducing the number of experiments needed), but this would reduce reagent consumption only at the margins while expanding the overall addressable market as more therapies reach clinical trials. No analysts have flagged AI as a displacement risk to Danaher's business lines. AI Opportunity (1/1): Danaher has appointed a Chief Technology and AI Officer (Martin Stumpe, formerly Google Cancer Pathology) with a mandate to integrate AI across R&amp;D, drug discovery, and diagnostics [2]. The company's instrumentation generates massive datasets that are valuable for AI training, creating potential for AI-enhanced products and services. Danaher's platforms are tools used in AI-driven drug discovery workflows, making the company an AI enabler.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Danaher Q2 2026 Earnings Release — Revenue $6.3B (+5.5% YoY), Net Earnings $870M (+60%), Adjusted EPS $1.94 (+8%), Bioprocessing Orders Mid-Teens Growth, Raised FY2026 EPS Guidance to $8.45-$8.60, July 21, 2026; Q1 2026: Revenue $6.0B, Adjusted EPS $2.06, April 2026</w:t>
      </w:r>
    </w:p>
    <w:p>
      <w:pPr>
        <w:spacing w:before="20" w:after="20"/>
        <w:ind w:left="170"/>
      </w:pPr>
      <w:r>
        <w:rPr>
          <w:rFonts w:ascii="Calibri" w:hAnsi="Calibri"/>
          <w:b/>
          <w:color w:val="4A6B25"/>
          <w:sz w:val="15"/>
        </w:rPr>
        <w:t xml:space="preserve">2. </w:t>
      </w:r>
      <w:r>
        <w:rPr>
          <w:rFonts w:ascii="Calibri" w:hAnsi="Calibri"/>
          <w:b w:val="0"/>
          <w:color w:val="3A4A28"/>
          <w:sz w:val="17"/>
        </w:rPr>
        <w:t>Danaher Appoints Martin Stumpe as Chief Technology and AI Officer — Press Release, June 27, 2025</w:t>
      </w:r>
    </w:p>
    <w:p>
      <w:pPr>
        <w:spacing w:before="20" w:after="20"/>
        <w:ind w:left="170"/>
      </w:pPr>
      <w:r>
        <w:rPr>
          <w:rFonts w:ascii="Calibri" w:hAnsi="Calibri"/>
          <w:b/>
          <w:color w:val="4A6B25"/>
          <w:sz w:val="15"/>
        </w:rPr>
        <w:t xml:space="preserve">3. </w:t>
      </w:r>
      <w:r>
        <w:rPr>
          <w:rFonts w:ascii="Calibri" w:hAnsi="Calibri"/>
          <w:b w:val="0"/>
          <w:color w:val="3A4A28"/>
          <w:sz w:val="17"/>
        </w:rPr>
        <w:t>Danaher Corporation Website — About Danaher, DBS, Mission and Culture,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TipRanks / MarketBeat — DHR Insider Trading Activity, November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