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DHT</w:t>
      </w:r>
      <w:r>
        <w:rPr>
          <w:rFonts w:ascii="Calibri" w:hAnsi="Calibri"/>
          <w:b/>
          <w:color w:val="1A2010"/>
          <w:sz w:val="40"/>
        </w:rPr>
        <w:t xml:space="preserve">  DHT Holdings, Inc.</w:t>
      </w:r>
    </w:p>
    <w:p>
      <w:pPr>
        <w:spacing w:after="120"/>
      </w:pPr>
      <w:r>
        <w:rPr>
          <w:rFonts w:ascii="Calibri" w:hAnsi="Calibri"/>
          <w:b/>
          <w:color w:val="6E8450"/>
          <w:sz w:val="18"/>
        </w:rPr>
        <w:t>DIVIDEND SLEEVE · 2026-08-30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Bermuda</w:t>
      </w:r>
    </w:p>
    <w:p>
      <w:pPr>
        <w:spacing w:after="80"/>
      </w:pPr>
      <w:r>
        <w:rPr>
          <w:rFonts w:ascii="Calibri" w:hAnsi="Calibri"/>
          <w:b w:val="0"/>
          <w:color w:val="3A4A28"/>
          <w:sz w:val="20"/>
        </w:rPr>
        <w:t>DHT Holdings owns and operates a fleet of approximately 23 Very Large Crude Carriers (VLCCs) transporting crude oil globally, with management offices in Monaco, Norway, Singapore, and India. The company reported record Q2 2026 net income of $198.3M — the strongest quarter in company history — driven by multi-decade high VLCC tanker rates following Iran's closure of the Strait of Hormuz. H1 2026 shipping revenue reached $471.1M (+91% YoY). Maintains a 100% ordinary net income payout policy with 64+ consecutive quarterly dividends.</w:t>
      </w:r>
    </w:p>
    <w:p>
      <w:r>
        <w:rPr>
          <w:rFonts w:ascii="Calibri" w:hAnsi="Calibri"/>
          <w:b/>
          <w:color w:val="6E8450"/>
          <w:sz w:val="18"/>
        </w:rPr>
        <w:t>900 Employees · https://www.dhtankers.com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DHT executed a fleet renewal program delivering three new eco-design VLCCs and secured high-value time charters at $105,000/day (DHT Redwood) and $94,000/day (DHT Taiga), demonstrating operational sophistication in chartering strategy [1]. H1 2026 revenue surged 91% to $471.1M as VLCC rates spiked on geopolitical disruption, but this reflects market conditions rather than business model innovation [1]. AI Deployment (0/2): No evidence of AI-powered products or quantified AI-driven operational savings; technology efforts focus on cybersecurity and environmental compliance [2]. Market Share (1/2): DHT is a meaningful mid-tier VLCC operator with ~23 vessels, but is significantly smaller than category leaders like Frontline (~70 VLCCs) and COSCO Shipping [2]. Product Pipeline (1/2): Newbuild VLCC deliveries with design upgrades provide fleet expansion visibility, and management's dynamic spot/time charter mix strategy demonstrates operational planning, but tanker companies do not have next-gen products in the traditional sense [1]. R&amp;D Intensity (1/1): Investment in Exhaust Gas Cleaning Systems across all vessels and ISO 14001 environmental management certification demonstrate above-average operational technology spend for the tanker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DHT's stated approach — 'first rate operations and customer service, quality ships, prudent capital structure, disciplined capital allocation strategy, and transparent corporate structure' — is operationally well-articulated but fundamentally interchangeable with any well-managed shipping company [2]. It does not articulate a purpose beyond executing well. Community Impact (1/2): DHT publishes a sustainability report, maintains a Human Rights Policy with zero tolerance for discrimination, and operates across four countries, but no distinctive charitable programs or community investment initiatives are evident [3]. Employee Retention (1/2): CEO Svein Moxnes Harfjeld has served since 2010 (16 years) and CFO Laila Halvorsen since 2014 (12 years), providing remarkable leadership continuity through multiple tanker cycles — rare in cyclical industries [2]. Broader employee retention data unavailable. Insider Buying (1/2): The 100% ordinary net income payout policy directly aligns management compensation with shareholder returns, and 64+ consecutive quarterly dividends demonstrate commitment to capital return consistency through cycle ups and downs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DHT's financial profile reached peak-cycle levels in Q2 2026 with record net income of $198.3M and profit margin of 59.31% — nearly triple the 20% target [1]. D/E of 33% is conservative and well below the 70% target, reflecting disciplined leverage management [4]. ROE of 39.18% far exceeds the 15% target. Revenue growth YoY of 91.4% (H1 2026 $471.1M vs H1 2025 $246.1M) dramatically exceeds the 10% target [1]. Forward P/E of 6.67 is deeply discounted, reflecting market skepticism about sustainability of peak rates. The primary drags are the high payout ratio of 83.3% (vs 40% target, scoring 0.28) under DHT's variable dividend policy, low consecutive years of dividend growth (2 years, scoring 0.2) due to inherently cyclical tanker dividends, a modest 5yr revenue CAGR of ~3.2% reflecting tanker cycle volatility, and a 5yr dividend growth CAGR near 0% given the variable policy [4]. Liquidity floor easily cleared: 5.19M avg volume x $19.72 = ~$102M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DHT plays a pragmatic game focused on capital discipline and shareholder returns rather than a transformative vision. The 100% ordinary net income payout policy and 64+ consecutive quarterly dividends demonstrate extraordinary consistency through tanker cycle ups and downs. CEO Harfjeld's 16-year tenure provides rare leadership continuity. However, the company's purpose is functional — transport crude oil profitably — rather than aspirational, and the business model is inherently cyclical and reactive to market forces rather than built around a cause that transcends quarterly earnings.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DHT exists to transport crude oil reliably and return capital to shareholders — a functional purpose that lacks the aspirational quality of a Just Cause [2]. The company's sustainability report articulates environmental commitments (EGCS on all vessels, ISO 14001), but these read as compliance-driven rather than cause-driven [3]. Sinek would note the absence of a vision that transcends the commodity tanker business — no articulated future state that does not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stability is remarkable — CEO Harfjeld (since 2010, 16 years) and CFO Halvorsen (since 2014, 12 years) provide continuity through multiple tanker cycles [2]. The lean organization across four countries suggests empowered management teams. No evidence of significant layoffs, cultural controversy, or leadership disruption. However, no specific data on employee satisfaction, tenure, or psychological safety was available beyond leadership continuity — the score reflects adequate but unexceptional evidence of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DHT explicitly differentiates its strategy from larger competitors like Frontline by choosing conservative leverage (D/E 33%) and capital discipline over aggressive fleet expansion [1][2]. This strategic positioning — observing peers' approaches and deliberately choosing a different path — suggests competitive self-awareness oriented toward building a more durable business rather than winning the scale race. Management commentary consistently references fleet quality and operational excellence rather than market share conquest.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DHT has shown tactical flexibility by dynamically adjusting spot vs. time charter exposure based on market conditions — securing $105,000/day time charters when rates are favorable while increasing spot exposure in strong markets [1]. Newbuild design upgrades (delaying delivery for performance optimization) show willingness to sacrifice near-term capacity for long-term fleet quality. However, the company has not fundamentally reinvented itself — it remains a pure-play VLCC operator since inception in 2005.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DHT maintained its conservative balance sheet (D/E 33%) and 100% payout policy through weak tanker markets when peers leveraged up for aggressive fleet expansion [1]. The fleet renewal program — ordering new eco-design VLCCs at significant capital cost — represents long-term investment in fleet quality over short-term capital preservation. However, these are fundamentally prudent business decisions rather than transformative bets that sacrifice near-term performance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DHT Holdings at 6.67x forward earnings is delivering peak-cycle profitability — Q2 2026 net income of $198.3M (+254% YoY) was the strongest quarter in company history, with H1 2026 shipping revenue of $471.1M representing 91% growth over H1 2025 [1]. D/E of 33% reflects conservative leverage, ROE of 39.18% and profit margin of 59.31% demonstrate exceptional capital efficiency at peak rates, and the 12.42% dividend yield provides substantial income under the 100% ordinary net income payout policy [4]. The fleet renewal program (three new eco-design VLCCs delivered) positions DHT for IMO 2030 environmental compliance while reducing voyage costs. The Inspire Impact Score of 32 (ALIGNED) is notable for an oil transport company, and the stock trades near its all-time high of $19.99 (August 19, 2026).</w:t>
      </w:r>
    </w:p>
    <w:p>
      <w:pPr>
        <w:spacing w:after="120"/>
      </w:pPr>
      <w:r>
        <w:rPr>
          <w:rFonts w:ascii="Calibri" w:hAnsi="Calibri"/>
          <w:b w:val="0"/>
          <w:color w:val="3A4A28"/>
          <w:sz w:val="20"/>
        </w:rPr>
        <w:t>The critical bear case is cyclicality — DHT's current profitability is entirely a function of historically elevated tanker rates driven by geopolitical disruption (Strait of Hormuz closure) rather than structural demand growth [1]. When rates normalize, revenue, earnings, and dividends will decline dramatically — the 83.3% payout ratio and variable dividend policy mean income investors cannot rely on stable distributions. The 5yr revenue CAGR of only ~3.2% reveals the underlying cyclical reality beneath the current surge. DHT faces future capex to replace aging fleet tonnage as IMO emissions regulations tighten [3]. The company scored 4/10 on Innovation and 4/10 on Inspiration, reflecting a competently managed commodity transporter with no moat beyond fleet quality and capital discipline. The stock trades near its all-time high ($19.72 vs $19.99), leaving limited upside if tanker rates have peaked, and forward P/E of 6.67 reflects the market pricing in rate normalization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VLCC tanker rates remain at multi-decade highs with Iran's Strait of Hormuz closure creating sustained supply disruption — any extension of elevated geopolitical tensions could prolong the earnings super-cycle into 2027 with H1 2026 already at $471.1M revenue [1]</w:t>
      </w:r>
    </w:p>
    <w:p>
      <w:pPr>
        <w:spacing w:before="40" w:after="40"/>
        <w:ind w:left="283"/>
      </w:pPr>
      <w:r>
        <w:rPr>
          <w:rFonts w:ascii="Calibri" w:hAnsi="Calibri"/>
          <w:b/>
          <w:color w:val="4A6B25"/>
          <w:sz w:val="20"/>
        </w:rPr>
        <w:t xml:space="preserve">2. </w:t>
      </w:r>
      <w:r>
        <w:rPr>
          <w:rFonts w:ascii="Calibri" w:hAnsi="Calibri"/>
          <w:b w:val="0"/>
          <w:color w:val="3A4A28"/>
          <w:sz w:val="20"/>
        </w:rPr>
        <w:t>Fleet renewal program with new eco-design VLCCs improves fuel efficiency and positions DHT for IMO 2030 compliance, potentially creating competitive advantage against operators with aging fleets facing scrapping pressure [1]</w:t>
      </w:r>
    </w:p>
    <w:p>
      <w:pPr>
        <w:spacing w:before="40" w:after="40"/>
        <w:ind w:left="283"/>
      </w:pPr>
      <w:r>
        <w:rPr>
          <w:rFonts w:ascii="Calibri" w:hAnsi="Calibri"/>
          <w:b/>
          <w:color w:val="4A6B25"/>
          <w:sz w:val="20"/>
        </w:rPr>
        <w:t xml:space="preserve">3. </w:t>
      </w:r>
      <w:r>
        <w:rPr>
          <w:rFonts w:ascii="Calibri" w:hAnsi="Calibri"/>
          <w:b w:val="0"/>
          <w:color w:val="3A4A28"/>
          <w:sz w:val="20"/>
        </w:rPr>
        <w:t>Aging global VLCC fleet (46% over 15 years old) creating structural supply tightening as scrapping accelerates and newbuild orderbook remains limited, supporting rate environment even if geopolitical tensions ease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Peak cycle risk: VLCC spot rates can decline 60-70% from peak levels, directly collapsing dividends under the variable 100% payout policy — DHT's 2020-2021 earnings demonstrate how violently tanker profitability can decline when market conditions shift [1]</w:t>
      </w:r>
    </w:p>
    <w:p>
      <w:pPr>
        <w:spacing w:before="40" w:after="40"/>
        <w:ind w:left="283"/>
      </w:pPr>
      <w:r>
        <w:rPr>
          <w:rFonts w:ascii="Calibri" w:hAnsi="Calibri"/>
          <w:b/>
          <w:color w:val="4A6B25"/>
          <w:sz w:val="20"/>
        </w:rPr>
        <w:t xml:space="preserve">2. </w:t>
      </w:r>
      <w:r>
        <w:rPr>
          <w:rFonts w:ascii="Calibri" w:hAnsi="Calibri"/>
          <w:b w:val="0"/>
          <w:color w:val="3A4A28"/>
          <w:sz w:val="20"/>
        </w:rPr>
        <w:t>Geopolitical normalization risk: resolution of Strait of Hormuz tensions, OPEC+ supply cuts, or global recession could crater rates — the 12.42% dividend yield is unsustainable at normalized tanker rates [1][4]</w:t>
      </w:r>
    </w:p>
    <w:p>
      <w:pPr>
        <w:spacing w:before="40" w:after="40"/>
        <w:ind w:left="283"/>
      </w:pPr>
      <w:r>
        <w:rPr>
          <w:rFonts w:ascii="Calibri" w:hAnsi="Calibri"/>
          <w:b/>
          <w:color w:val="4A6B25"/>
          <w:sz w:val="20"/>
        </w:rPr>
        <w:t xml:space="preserve">3. </w:t>
      </w:r>
      <w:r>
        <w:rPr>
          <w:rFonts w:ascii="Calibri" w:hAnsi="Calibri"/>
          <w:b w:val="0"/>
          <w:color w:val="3A4A28"/>
          <w:sz w:val="20"/>
        </w:rPr>
        <w:t>Fleet replacement capex overhang: IMO 2030 emissions regulations will force scrapping of older VLCCs, requiring significant capital expenditure for fleet renewal that could strain the balance sheet during a cyclical downturn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VLCC crude oil tanker operations are fundamentally physical-world businesses that AI cannot displace — ships must physically carry crude oil across oceans regardless of AI advancement [2]. The aging global VLCC fleet creates supply constraints that AI cannot solve, and geopolitical disruptions forcing longer voyage routes (Strait of Hormuz closure, Red Sea rerouting) increase tanker demand in ways entirely disconnected from AI trends. No analyst has flagged AI as a risk factor for tanker operators — the business is structurally immune to AI substitution. AI-driven economic growth may modestly increase energy demand over time, but the link between AI and crude oil transport specifically is indirect compared to electricity or semiconductors. AI Opportunity (0/1): DHT does not generate quantifiable revenue from AI products, services, or infrastructure. The company has not articulated any AI monetization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DHT Holdings Q1 &amp; Q2 FY2026 Earnings — Record Q2 Net Income $198.3M (+254%), H1 Revenue $471.1M (+91%), Q1 EPS $1.02, VLCC Rate Surge on Strait of Hormuz Closure, Baird Maritime / Investing.com / GlobeNewsWire, 2026</w:t>
      </w:r>
    </w:p>
    <w:p>
      <w:pPr>
        <w:spacing w:before="20" w:after="20"/>
        <w:ind w:left="170"/>
      </w:pPr>
      <w:r>
        <w:rPr>
          <w:rFonts w:ascii="Calibri" w:hAnsi="Calibri"/>
          <w:b/>
          <w:color w:val="4A6B25"/>
          <w:sz w:val="15"/>
        </w:rPr>
        <w:t xml:space="preserve">2. </w:t>
      </w:r>
      <w:r>
        <w:rPr>
          <w:rFonts w:ascii="Calibri" w:hAnsi="Calibri"/>
          <w:b w:val="0"/>
          <w:color w:val="3A4A28"/>
          <w:sz w:val="17"/>
        </w:rPr>
        <w:t>DHT Holdings Company Profile — CEO Svein Moxnes Harfjeld (since 2010), CFO Laila Halvorsen (since 2014), Fleet of ~23 VLCCs, Operations in Monaco/Norway/Singapore/India, dhtankers.com / Yahoo Finance,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DHT Holdings Sustainability &amp; ESG — EGCS Systems on All Vessels, ISO 14001 Certification, Human Rights Policy, Sustainability Oversight Committee, SEC Filings / Oil &amp; Gas 360,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Morningstar — DHT Key Statistics: Stock Price $19.72, Forward P/E 6.67, D/E 33%, ROE 39.18%, Dividend Yield 12.42%, Avg Volume 5.19M,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