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DKI</w:t>
      </w:r>
      <w:r>
        <w:rPr>
          <w:rFonts w:ascii="Calibri" w:hAnsi="Calibri"/>
          <w:b/>
          <w:color w:val="1A2010"/>
          <w:sz w:val="40"/>
        </w:rPr>
        <w:t xml:space="preserve">  DarkIris Inc.</w:t>
      </w:r>
    </w:p>
    <w:p>
      <w:pPr>
        <w:spacing w:after="120"/>
      </w:pPr>
      <w:r>
        <w:rPr>
          <w:rFonts w:ascii="Calibri" w:hAnsi="Calibri"/>
          <w:b/>
          <w:color w:val="6E8450"/>
          <w:sz w:val="18"/>
        </w:rPr>
        <w:t>GROWTH SLEEVE · 2026-10-19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Electronic Gaming &amp; Multimedia · NCM · Hong Kong</w:t>
      </w:r>
    </w:p>
    <w:p>
      <w:pPr>
        <w:spacing w:after="80"/>
      </w:pPr>
      <w:r>
        <w:rPr>
          <w:rFonts w:ascii="Calibri" w:hAnsi="Calibri"/>
          <w:b w:val="0"/>
          <w:color w:val="3A4A28"/>
          <w:sz w:val="20"/>
        </w:rPr>
        <w:t>DarkIris Inc. develops, publishes, and operates mobile digital games on various platforms in Hong Kong, Macau, and Taiwan. Founded in 2017 and headquartered in Sheung Wan, Hong Kong with 19 employees, the company is pivoting toward an AI-Generated Content (AIGC) platform for gaming and film production through its Singapore-based AETHER INTELLIGENCE R&amp;D subsidiary. H1 FY2026 gaming revenue rose 13.9% to $5.93M with 79,608 monthly paying gamers. Market cap has collapsed to approximately $159K following a 99%+ decline from August 2025 IPO, with shares trading at $0.05.</w:t>
      </w:r>
    </w:p>
    <w:p>
      <w:r>
        <w:rPr>
          <w:rFonts w:ascii="Calibri" w:hAnsi="Calibri"/>
          <w:b/>
          <w:color w:val="6E8450"/>
          <w:sz w:val="18"/>
        </w:rPr>
        <w:t>19 Employees · https://www.darkiris.com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DarkIris remains a micro-cap mobile game developer with no significant product launches or business model transformations that have produced material results. The company publishes mobile games in Hong Kong, Macau, and Taiwan with H1 2026 gaming revenue of $5.93M (+13.9% YoY), but no breakout titles or meaningful market expansion have materialized [1]. AI Deployment (1/2): The company established AETHER INTELLIGENCE PTE. LTD. in Singapore as a global AI R&amp;D hub in April 2026 and reports having 'completed its strategic transformation from a traditional gaming business into an AI-driven pan-entertainment technology ecosystem' [2]. The Singapore subsidiary has been included in the qualified vendor directory of a leading global social media and technology company, representing early commercial validation [2]. However, the AIGC platform remains pre-revenue with no shipped AI products generating measurable income. Market Share (0/2): DarkIris is a negligible participant in the global mobile gaming market with ~$12M annualized revenue against an industry measured in hundreds of billions — no category leadership or share position exists [1]. Product Pipeline (1/2): The AIGC platform roadmap includes Model-as-a-Service and Platform-as-a-Service offerings with plans to explore technical testing and multimodal AI development, though specific revenue visibility remains absent [2]. R&amp;D Intensity (0/1): With only 19 employees and limited capital, R&amp;D spending is minimal in absolute terms despite stated AI ambitions.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DarkIris's stated purpose is to 'create and promote a broader array of engaging, immersive, and captivating mobile game genres for a global audience' — a generic mission interchangeable with any mobile game developer that does not articulate a deeper purpose beyond the obvious business activity [2]. Community Impact (0/2): No evidence of charitable giving, community programs, or philanthropy was found in any public materials or filings [1][2]. Employee Retention (0/2): With only 19 employees and no publicly available retention data, this item cannot be scored. Insider Buying (1/2): CEO and Chairman Zhifang Hong personally participated in the April 2026 PIPE financing, purchasing all 1,428,571 Class B ordinary shares at $0.35 per share, demonstrating personal financial commitment [3]. However, this occurred in a deeply discounted private placement rather than open-market purchases at prevailing prices.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9.6M shares multiplied by stock price of $0.053 equals approximately $514K in daily dollar volume, well below the $1,000,000 minimum threshold [4]. Infrastructure score is automatically set to 0. Underlying metrics have deteriorated further: ROE collapsed to -313% with profit margin of -106%, and the stock trades at $0.05 representing a 99%+ decline from its August 2025 IPO [4]. The previous 1-for-16 reverse stock split in May 2026 failed to sustain NASDAQ compliance. The company carries zero debt with only $473K in cash as of the latest report, raising severe going-concern questions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DarkIris operates with a distinctly finite-game mentality characteristic of a micro-cap company focused on survival. The rapid strategic pivot from mobile gaming to AIGC — while showing adaptability — reads more as reactive trend-chasing than cause-driven transformation. With 19 employees, an $8M market cap, a 98% decline from IPO, a reverse stock split for NASDAQ compliance, and reliance on PIPE financing, the company is playing to survive rather than playing to keep playing. Governance instability (director resignation July 2026, CFO dual-hatting as board member) further undermines long-term orientation.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company's stated purpose revolves around creating mobile games and is now pivoting to AIGC — these are business strategies, not a vision of a better future [2]. The Chairman's 2026 letter focuses entirely on revenue growth and strategic positioning. The rapid pivot from pure gaming to AIGC suggests opportunism rather than an enduring cause that would survive leadership transitions or market cycles.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Governance instability undermines organizational trust. Ms. Hong Yuanfang resigned as director in July 2026, with CFO Xu Jiang dual-appointed to the board [4]. Simply Wall St flags lack of board continuity as a specific risk. With only 19 employees and a Singapore subsidiary introducing geographic fragmentation, no employee culture or retention data is available to evaluate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Public communications focus on market opportunity and growth strategy without acknowledging competitors' strengths or demonstrating competitive self-awareness oriented toward self-improvement [2]. The AIGC positioning language is about capturing opportunity, not learning from worthy rivals in the space.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pure mobile game development to a dual-engine 'core gaming + AIGC' strategy represents meaningful business model evolution. Establishing AETHER INTELLIGENCE in Singapore and pursuing a platform model (MaaS/PaaS) shows willingness to transform [2]. However, the pivot appears driven by survival necessity (core gaming losing money, stock down 98%) rather than cause-driven reinvention, and the company is too young to have navigated multiple market cycles.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Zhifang Hong personally invested in the April 2026 PIPE financing and is betting the company's future on an unproven AIGC platform against vastly better-resourced competitors [3]. Establishing a Singapore R&amp;D hub while the core business is cash-flow negative takes courage. However, these decisions may reflect necessity rather than principled long-term conviction — the company needed a new narrative to attract capital and maintain its NASDAQ listing.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DarkIris is a micro-cap mobile game developer showing operational improvement — H1 2026 gaming revenue grew 13.9% to $5.93M with gross margins expanding to 29.6%, 79,608 monthly paying gamers (+YoY), and ARPPU of $22.38 [1]. The AIGC strategic pivot is gaining traction: the Singapore AETHER INTELLIGENCE R&amp;D subsidiary has been included in the qualified vendor directory of a leading global social media company, suggesting early commercial validation of AI capabilities [2]. CEO Hong's personal investment in the April 2026 PIPE financing ($0.5M in Class B shares) signals leadership conviction despite the company's challenged financial position [3].</w:t>
      </w:r>
    </w:p>
    <w:p>
      <w:pPr>
        <w:spacing w:after="120"/>
      </w:pPr>
      <w:r>
        <w:rPr>
          <w:rFonts w:ascii="Calibri" w:hAnsi="Calibri"/>
          <w:b w:val="0"/>
          <w:color w:val="3A4A28"/>
          <w:sz w:val="20"/>
        </w:rPr>
        <w:t>The bear case is overwhelming and existential. With market cap collapsed to ~$159K, 19 employees, FY2025 net loss of $8.64M on $10.08M revenue, and shares at $0.05 (down 99%+ from IPO), DarkIris faces near-certain delisting [1][4]. Daily dollar volume of approximately $514K fails the IOWN liquidity floor, making position entry and exit impractical for any structured portfolio. The 1-for-16 reverse stock split in May 2026 has failed — shares have plunged through the compliance threshold again, with only $473K in cash remaining. The AIGC platform ambition — competing in AI content generation against companies with billions in resources — is extraordinary for a 19-person company with a market cap smaller than a studio apartment. Going-concern risk is acute: the company cannot sustain operations without further equity dilution or a transformative event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AIGC platform commercialization — the Singapore subsidiary's qualified vendor status with a major global tech company could convert to contracted AI services revenue, providing the first quantifiable AI income stream [2]</w:t>
      </w:r>
    </w:p>
    <w:p>
      <w:pPr>
        <w:spacing w:before="40" w:after="40"/>
        <w:ind w:left="283"/>
      </w:pPr>
      <w:r>
        <w:rPr>
          <w:rFonts w:ascii="Calibri" w:hAnsi="Calibri"/>
          <w:b/>
          <w:color w:val="4A6B25"/>
          <w:sz w:val="20"/>
        </w:rPr>
        <w:t xml:space="preserve">2. </w:t>
      </w:r>
      <w:r>
        <w:rPr>
          <w:rFonts w:ascii="Calibri" w:hAnsi="Calibri"/>
          <w:b w:val="0"/>
          <w:color w:val="3A4A28"/>
          <w:sz w:val="20"/>
        </w:rPr>
        <w:t>H1 2026 gaming fundamentals improving (13.9% revenue growth, gross margin expansion to 29.6%) could stabilize the core business while the AIGC pivot develops [1]</w:t>
      </w:r>
    </w:p>
    <w:p>
      <w:pPr>
        <w:spacing w:before="40" w:after="40"/>
        <w:ind w:left="283"/>
      </w:pPr>
      <w:r>
        <w:rPr>
          <w:rFonts w:ascii="Calibri" w:hAnsi="Calibri"/>
          <w:b/>
          <w:color w:val="4A6B25"/>
          <w:sz w:val="20"/>
        </w:rPr>
        <w:t xml:space="preserve">3. </w:t>
      </w:r>
      <w:r>
        <w:rPr>
          <w:rFonts w:ascii="Calibri" w:hAnsi="Calibri"/>
          <w:b w:val="0"/>
          <w:color w:val="3A4A28"/>
          <w:sz w:val="20"/>
        </w:rPr>
        <w:t>Successful launch of MaaS/PaaS platform model could create recurring SaaS-type revenue at higher margins than the traditional game publishing business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Acute going-concern risk — $8.64M net loss on $10.08M revenue in FY2025, only $473K in cash, and market cap of $159K make continued operations and the AIGC development roadmap unsustainable without transformative financing [1][3]</w:t>
      </w:r>
    </w:p>
    <w:p>
      <w:pPr>
        <w:spacing w:before="40" w:after="40"/>
        <w:ind w:left="283"/>
      </w:pPr>
      <w:r>
        <w:rPr>
          <w:rFonts w:ascii="Calibri" w:hAnsi="Calibri"/>
          <w:b/>
          <w:color w:val="4A6B25"/>
          <w:sz w:val="20"/>
        </w:rPr>
        <w:t xml:space="preserve">2. </w:t>
      </w:r>
      <w:r>
        <w:rPr>
          <w:rFonts w:ascii="Calibri" w:hAnsi="Calibri"/>
          <w:b w:val="0"/>
          <w:color w:val="3A4A28"/>
          <w:sz w:val="20"/>
        </w:rPr>
        <w:t>Severe illiquidity ($514K daily dollar volume) with shares at $0.05 and failed reverse stock split indicate imminent NASDAQ delisting risk — the May 2026 1-for-16 reverse split did not prevent further price collapse [4]</w:t>
      </w:r>
    </w:p>
    <w:p>
      <w:pPr>
        <w:spacing w:before="40" w:after="40"/>
        <w:ind w:left="283"/>
      </w:pPr>
      <w:r>
        <w:rPr>
          <w:rFonts w:ascii="Calibri" w:hAnsi="Calibri"/>
          <w:b/>
          <w:color w:val="4A6B25"/>
          <w:sz w:val="20"/>
        </w:rPr>
        <w:t xml:space="preserve">3. </w:t>
      </w:r>
      <w:r>
        <w:rPr>
          <w:rFonts w:ascii="Calibri" w:hAnsi="Calibri"/>
          <w:b w:val="0"/>
          <w:color w:val="3A4A28"/>
          <w:sz w:val="20"/>
        </w:rPr>
        <w:t>AIGC execution risk is extreme — 19 employees and minimal capital competing against tech giants with massive AI budgets in a rapidly commoditizing content generation space where open-source tools proliferate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EXPOSED. Mobile game development faces significant AI disruption as generative AI tools rapidly lower barriers to entry for content creation, art assets, and narrative development — Morgan Stanley estimates AI could cut game development costs in half, dramatically increasing competition [5]. DarkIris's core business of publishing games in Hong Kong/Macau/Taiwan has no structural defense against AI-enabled competitors flooding the market with lower-cost alternatives. However, the company is actively adapting: the AIGC strategic pivot, Singapore AI R&amp;D hub, and qualified vendor status with a major global tech company represent concrete steps toward positioning AI as an enabler rather than threat [2]. The score reflects genuine exposure mitigated by active adaptation efforts, scoring slightly above pure vulnerability. AI Opportunity (0/1): Despite AIGC platform development and the Singapore subsidiary's vendor qualification, no quantifiable AI revenue has been generated as of H1 2026. The platform remains pre-commercial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DarkIris Inc. H1 FY2026 Earnings — Revenue $5.93M (+13.9% YoY), Gross Margin 29.6%, 79,608 Monthly Paying Gamers, ARPPU $22.38 — GlobeNewswire, August 13, 2026</w:t>
      </w:r>
    </w:p>
    <w:p>
      <w:pPr>
        <w:spacing w:before="20" w:after="20"/>
        <w:ind w:left="170"/>
      </w:pPr>
      <w:r>
        <w:rPr>
          <w:rFonts w:ascii="Calibri" w:hAnsi="Calibri"/>
          <w:b/>
          <w:color w:val="4A6B25"/>
          <w:sz w:val="15"/>
        </w:rPr>
        <w:t xml:space="preserve">2. </w:t>
      </w:r>
      <w:r>
        <w:rPr>
          <w:rFonts w:ascii="Calibri" w:hAnsi="Calibri"/>
          <w:b w:val="0"/>
          <w:color w:val="3A4A28"/>
          <w:sz w:val="17"/>
        </w:rPr>
        <w:t>DarkIris Inc. Strategic and Operational Update — AIGC Platform Progress, Singapore AETHER INTELLIGENCE Hub, Qualified Vendor Status — GlobeNewswire, August 14, 2026</w:t>
      </w:r>
    </w:p>
    <w:p>
      <w:pPr>
        <w:spacing w:before="20" w:after="20"/>
        <w:ind w:left="170"/>
      </w:pPr>
      <w:r>
        <w:rPr>
          <w:rFonts w:ascii="Calibri" w:hAnsi="Calibri"/>
          <w:b/>
          <w:color w:val="4A6B25"/>
          <w:sz w:val="15"/>
        </w:rPr>
        <w:t xml:space="preserve">3. </w:t>
      </w:r>
      <w:r>
        <w:rPr>
          <w:rFonts w:ascii="Calibri" w:hAnsi="Calibri"/>
          <w:b w:val="0"/>
          <w:color w:val="3A4A28"/>
          <w:sz w:val="17"/>
        </w:rPr>
        <w:t>DarkIris Inc. $3.8M PIPE Financing — CEO Zhifang Hong personal investment in Class B shares at $0.35/share — GlobeNewswire, April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DKI Key Statistics: Stock Price $0.053, Market Cap ~$159K, ROE -313.3%, Profit Margin -106%, Avg Volume 9.6M shares, 19 employees,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Morgan Stanley Research: AI Will Cut Game Development Costs in Half — $22B Industry Profit Opportunity — CNBC, 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