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DKNG</w:t>
      </w:r>
      <w:r>
        <w:rPr>
          <w:rFonts w:ascii="Calibri" w:hAnsi="Calibri"/>
          <w:b/>
          <w:color w:val="1A2010"/>
          <w:sz w:val="40"/>
        </w:rPr>
        <w:t xml:space="preserve">  DraftKings Inc.</w:t>
      </w:r>
    </w:p>
    <w:p>
      <w:pPr>
        <w:spacing w:after="120"/>
      </w:pPr>
      <w:r>
        <w:rPr>
          <w:rFonts w:ascii="Calibri" w:hAnsi="Calibri"/>
          <w:b/>
          <w:color w:val="6E8450"/>
          <w:sz w:val="18"/>
        </w:rPr>
        <w:t>GROWTH SLEEVE · 2026-10-08 · Inspire: -1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Cyclical · Gambling · NMS · United States</w:t>
      </w:r>
    </w:p>
    <w:p>
      <w:pPr>
        <w:spacing w:after="80"/>
      </w:pPr>
      <w:r>
        <w:rPr>
          <w:rFonts w:ascii="Calibri" w:hAnsi="Calibri"/>
          <w:b w:val="0"/>
          <w:color w:val="3A4A28"/>
          <w:sz w:val="20"/>
        </w:rPr>
        <w:t>DraftKings Inc. operates as a digital sports entertainment and gaming company in the United States and internationally, offering online and retail sports betting, daily fantasy sports, digital lottery couriers, prediction markets, and iGaming products. Q1 2026 revenue grew 17% YoY to $1.646B with sportsbook revenue up 24.1% and improved net revenue margin from 6.4% to 7.8%, though Q2 2026 revenue dipped 5% YoY to $1.44B due to customer-friendly sports outcomes. Management maintained full-year 2026 guidance of $6.5–6.9B revenue and $700–900M adjusted EBITDA, and the Predictions product scaled to $11B annualized volume in July 2026 [1].</w:t>
      </w:r>
    </w:p>
    <w:p>
      <w:r>
        <w:rPr>
          <w:rFonts w:ascii="Calibri" w:hAnsi="Calibri"/>
          <w:b/>
          <w:color w:val="6E8450"/>
          <w:sz w:val="18"/>
        </w:rPr>
        <w:t>5,500 Employees · https://www.draftkings.com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DraftKings' Predictions product scaled from $2.3B annualized volume in April 2026 to $11B in July 2026 — nearly a 5x increase in three months — establishing a concrete third growth pillar alongside sportsbook and iGaming [1]. The original DFS-to-sportsbook pivot and subsequent iGaming expansion demonstrate serial category creation. AI Deployment (1/2): CEO Jason Robins states all departments are now making full use of AI technology with cited improvements in personalization, customer service, and odds optimization, though no specific revenue or cost-savings figures have been disclosed [2]. An OECD AI incident report from September 2026 alleges the company used AI models to identify customers most likely to lose and targeted them with promotional offers, suggesting advanced AI deployment with significant ethical questions [3]. Market Share (2/2): DraftKings remains the #1 or #2 US online sportsbook by handle, with Q1 2026 sportsbook revenue up 24.1% YoY and customer acquisition running roughly 30% ahead of plan in Q2, evidencing continued share gains even in a challenging quarter [1]. Product Pipeline (2/2): Full-year 2026 guidance of $6.5–6.9B revenue and $700–900M adjusted EBITDA provides specific quantified visibility, with management planning $200–300M additional investment in the rapidly scaling Predictions business during 2026 [1]. R&amp;D Intensity (1/1): DraftKings builds its sportsbook, iGaming, and Predictions platforms end-to-end with proprietary technology, well above typical gaming-industry R&amp;D intensity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DraftKings' stated purpose of 'bringing fans closer to the games they love' is generic and in increasing tension with 2026 litigation and an OECD AI incident report alleging the company's algorithms specifically target losing, potentially addicted bettors with promotional offers while reportedly withholding UK-level responsible-gaming safeguards from US users [2][3]. Community Impact (1/2): Standard ESG programs including responsible gaming tools (self-exclusion, spending limits) and tree-planting initiatives, typical for a regulated gaming operator rather than distinctive [4]. Employee Retention (1/2): Named a Top Workplaces USA winner for a fourth consecutive year with a 4.0 Glassdoor rating, though reviews cite burnout and AI-driven layoff anxiety [2]. Insider Buying (1/2): CEO Robins' 2026 transactions are predominantly RSU vesting and tax-withholding settlements rather than discretionary sales; prior board-level purchases (Sloan ~$2.9M, Wendt ~$303K) provide some conviction evidence but no clear net insider buying pattern in 2026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The stock has declined significantly to $19.15, compressing Forward P/E from 47.5x to 11.4x based on forward EPS of $1.68 — a dramatic valuation improvement scoring 1.0 against the 20x target [1]. PEG of 0.05 scores at the maximum (2x weight), though this anomalously low figure reflects the loss-to-profit transition inflating the implied growth rate. The 5-year revenue CAGR of approximately 37% (score 1.0, 2x weight) reflects the sustained hypergrowth from $1.3B (2021) to $6.2B (TTM). However, D/E of 336% exceeds the 300% floor (score 0.0), ROE of -21.1% is well below the 0% floor (score 0.0, 2x weight), and profit margin of -2.7% is below the 0% floor (score 0.0) — three critical metrics scoring zero. Revenue growth YoY of -4.6% scores 0.51, reflecting the Q2 2026 miss. Daily dollar volume of $247M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DraftKings under founder-CEO Jason Robins shows genuine long-term product-building instincts — the rapid Predictions scale-up and continued category expansion reflect real innovation investment. But the credibility of any service-oriented Just Cause is severely undermined by 2026 litigation and an OECD report alleging the company's algorithms intentionally target vulnerable bettors, combined with a deteriorating balance sheet and negative profitability metrics that suggest the company is still playing to survive rather than playing to endure.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DraftKings' stated purpose of 'bringing fans closer to the games they love' is now in direct tension with multiple 2026 allegations — litigation claiming the app design targets losing bettors with tailored bonuses, and an OECD AI incident report alleging the company used AI to identify customers most likely to lose and targeted them with promotional offers while reportedly withholding UK-level safeguards from US users [3]. The federal SAFE Bet Act was introduced specifically targeting these practices. The core business model, as practiced, appears oriented toward extraction rather than a genuine service-oriented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Named Top Workplaces USA for a fourth consecutive year with a 4.0 Glassdoor rating, indicating adequate trust and organizational stability [2]. However, reviews cite burnout and AI-driven layoff anxiety, and the OECD report's claim that the company ignored internal proposals for using AI in addiction prevention, if true, suggests employee voice is not always heard on critical ethical questions.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DraftKings continues to frame FanDuel as its primary competitive benchmark, matching product features and investing in proprietary technology to differentiate, with management language centered on building the best product rather than destroying rivals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rapid Predictions scale-up (nearly 5x volume growth in three months to $11B annualized) demonstrates willingness to expand into adjacent categories, following the earlier DFS-to-sportsbook pivot [1]. This is meaningful adaptation and category creation, but remains incremental expansion within the digital wagering ecosystem rather than a transformative reinvention of the company's identity.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Robins' willingness to sustain $1.5B+ in cumulative losses (2020–2023) to build state-by-state market position, and the continued $200–300M planned investment in Predictions during 2026 despite near-term EBITDA pressure, demonstrate long-term conviction [1]. However, this is offset by the absence of any visible proactive response to mounting addiction-related allegations — the more consequential test of courage would be voluntarily adopting UK-level responsible gaming safeguards.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DraftKings at $19.15 with a $9.5B market cap has seen its stock decline over 25% from recent highs, compressing Forward P/E from 47.5x to a far more reasonable 11.4x based on forward EPS of $1.68 — creating a potential value entry point for a company with a dominant #1/#2 US sportsbook position [1]. Q1 2026 revenue grew 17% YoY to $1.646B with sportsbook revenue up 24.1% and improved net revenue margin, the Predictions product scaled to $11B annualized volume (nearly 5x in three months), and management held full-year 2026 guidance at $6.5–6.9B revenue and $700–900M adjusted EBITDA with core-business EBITDA tracking toward ~$1.0B [1]. The 5-year revenue CAGR of 37% reflects the sustained hypergrowth trajectory, and additional state iGaming legalizations represent a high-margin expansion opportunity.</w:t>
      </w:r>
    </w:p>
    <w:p>
      <w:pPr>
        <w:spacing w:after="120"/>
      </w:pPr>
      <w:r>
        <w:rPr>
          <w:rFonts w:ascii="Calibri" w:hAnsi="Calibri"/>
          <w:b w:val="0"/>
          <w:color w:val="3A4A28"/>
          <w:sz w:val="20"/>
        </w:rPr>
        <w:t>The bear case remains formidable. TTM figures show a $166.9M net loss with ROE of -21.1%, profit margin of -2.7%, and D/E of 336% — three critical Infrastructure metrics scoring zero, undermining the profitability inflection narrative [1]. Q2 2026 revenue fell 4.6% YoY to $1.44B on customer-friendly sports outcomes, and monthly unique payers declined 4% in Q1 due to the Texas lottery exit, raising questions about sustainable customer base growth versus spend-per-customer concentration risk. Most seriously, an OECD AI incident report from September 2026 alleges DraftKings used AI models to target customers most likely to lose with promotional offers and ignored internal proposals for addiction prevention AI — compounding active litigation and the federal SAFE Bet Act targeting these exact practices [3]. This regulatory and reputational risk threatens the AI-personalization engine at the core of DraftKings' competitive advantage, and the $200–300M planned Predictions investment adds near-term cost pressure to an already unprofitable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Predictions volume scale-up (already $11B annualized in July 2026, up from $2.3B in April) establishing a durable third growth pillar alongside sportsbook and iGaming, with $200–300M planned 2026 investment [1]</w:t>
      </w:r>
    </w:p>
    <w:p>
      <w:pPr>
        <w:spacing w:before="40" w:after="40"/>
        <w:ind w:left="283"/>
      </w:pPr>
      <w:r>
        <w:rPr>
          <w:rFonts w:ascii="Calibri" w:hAnsi="Calibri"/>
          <w:b/>
          <w:color w:val="4A6B25"/>
          <w:sz w:val="20"/>
        </w:rPr>
        <w:t xml:space="preserve">2. </w:t>
      </w:r>
      <w:r>
        <w:rPr>
          <w:rFonts w:ascii="Calibri" w:hAnsi="Calibri"/>
          <w:b w:val="0"/>
          <w:color w:val="3A4A28"/>
          <w:sz w:val="20"/>
        </w:rPr>
        <w:t>Full-year 2026 guidance delivery ($6.5–6.9B revenue, $700–900M adjusted EBITDA) proving Q2's sports-outcome-driven miss was transitory and the profitability inflection is intact</w:t>
      </w:r>
    </w:p>
    <w:p>
      <w:pPr>
        <w:spacing w:before="40" w:after="40"/>
        <w:ind w:left="283"/>
      </w:pPr>
      <w:r>
        <w:rPr>
          <w:rFonts w:ascii="Calibri" w:hAnsi="Calibri"/>
          <w:b/>
          <w:color w:val="4A6B25"/>
          <w:sz w:val="20"/>
        </w:rPr>
        <w:t xml:space="preserve">3. </w:t>
      </w:r>
      <w:r>
        <w:rPr>
          <w:rFonts w:ascii="Calibri" w:hAnsi="Calibri"/>
          <w:b w:val="0"/>
          <w:color w:val="3A4A28"/>
          <w:sz w:val="20"/>
        </w:rPr>
        <w:t>Additional state iGaming legalizations expanding DraftKings' highest-margin product line, with only a handful of states currently permitting online casino operations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SAFE Bet Act or similar federal/state legislation restricting the AI-driven promotional and personalization tactics (tailored bonuses, high-frequency notifications) that drive customer acquisition and engagement — combined with OECD AI incident allegations from September 2026 of targeting vulnerable gamblers [3]</w:t>
      </w:r>
    </w:p>
    <w:p>
      <w:pPr>
        <w:spacing w:before="40" w:after="40"/>
        <w:ind w:left="283"/>
      </w:pPr>
      <w:r>
        <w:rPr>
          <w:rFonts w:ascii="Calibri" w:hAnsi="Calibri"/>
          <w:b/>
          <w:color w:val="4A6B25"/>
          <w:sz w:val="20"/>
        </w:rPr>
        <w:t xml:space="preserve">2. </w:t>
      </w:r>
      <w:r>
        <w:rPr>
          <w:rFonts w:ascii="Calibri" w:hAnsi="Calibri"/>
          <w:b w:val="0"/>
          <w:color w:val="3A4A28"/>
          <w:sz w:val="20"/>
        </w:rPr>
        <w:t>Persistent unprofitability — TTM net loss of $166.9M, D/E of 336%, ROE of -21.1%, and profit margin of -2.7% all scoring at infrastructure floors, with no clear path to sustained GAAP profitability despite $6B+ in annual revenue [1]</w:t>
      </w:r>
    </w:p>
    <w:p>
      <w:pPr>
        <w:spacing w:before="40" w:after="40"/>
        <w:ind w:left="283"/>
      </w:pPr>
      <w:r>
        <w:rPr>
          <w:rFonts w:ascii="Calibri" w:hAnsi="Calibri"/>
          <w:b/>
          <w:color w:val="4A6B25"/>
          <w:sz w:val="20"/>
        </w:rPr>
        <w:t xml:space="preserve">3. </w:t>
      </w:r>
      <w:r>
        <w:rPr>
          <w:rFonts w:ascii="Calibri" w:hAnsi="Calibri"/>
          <w:b w:val="0"/>
          <w:color w:val="3A4A28"/>
          <w:sz w:val="20"/>
        </w:rPr>
        <w:t>Customer-friendly sports outcome variance creating revenue volatility (Q2 2026 miss) combined with declining unique payers (-4% in Q1 from Texas lottery exit), suggesting revenue growth depends on spend-per-customer concentration rather than broadening the user base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Online sports betting and iGaming are protected by state-by-state licensing, age verification, and geolocation regulatory frameworks that AI cannot bypass, and DraftKings' scale and league partnerships create structural moats [1]. However, 2026 brought specific AI-related regulatory risk: the federal SAFE Bet Act targets AI-driven promotions and high-frequency wagering tactics, active litigation alleges algorithmic targeting of losing bettors, and an OECD AI incident report from September 2026 alleges DraftKings used AI to identify customers most likely to lose and targeted them with promotional offers while ignoring internal proposals to use AI for addiction prevention [3]. This represents a direct regulatory and reputational threat to the AI-personalization playbook driving customer acquisition. AI Opportunity (1/1): DraftKings deploys AI extensively across odds optimization, personalized engagement, fraud detection, and responsible-gaming monitoring, with CEO Robins calling AI a 'friend' to the business and citing adoption across all departments as a competitive advantage for large-scale operators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Gambling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DraftKings Q1 2026 Earnings Release — $1.646B Revenue (+17% YoY), Sportsbook +24.1%, Maintained FY26 Guidance $6.5–6.9B Revenue / $700–900M EBITDA — SEC 8-K Filing, BusinessWire, May 2026</w:t>
      </w:r>
    </w:p>
    <w:p>
      <w:pPr>
        <w:spacing w:before="20" w:after="20"/>
        <w:ind w:left="170"/>
      </w:pPr>
      <w:r>
        <w:rPr>
          <w:rFonts w:ascii="Calibri" w:hAnsi="Calibri"/>
          <w:b/>
          <w:color w:val="4A6B25"/>
          <w:sz w:val="15"/>
        </w:rPr>
        <w:t xml:space="preserve">2. </w:t>
      </w:r>
      <w:r>
        <w:rPr>
          <w:rFonts w:ascii="Calibri" w:hAnsi="Calibri"/>
          <w:b w:val="0"/>
          <w:color w:val="3A4A28"/>
          <w:sz w:val="17"/>
        </w:rPr>
        <w:t>DraftKings CEO Jason Robins — AI as 'Friend' to Business, Machine Learning Investment, Culture and Innovation Commentary — GamblingNews, Quartz, Fortune, Schwab Network, 2024–2026</w:t>
      </w:r>
    </w:p>
    <w:p>
      <w:pPr>
        <w:spacing w:before="20" w:after="20"/>
        <w:ind w:left="170"/>
      </w:pPr>
      <w:r>
        <w:rPr>
          <w:rFonts w:ascii="Calibri" w:hAnsi="Calibri"/>
          <w:b/>
          <w:color w:val="4A6B25"/>
          <w:sz w:val="15"/>
        </w:rPr>
        <w:t xml:space="preserve">3. </w:t>
      </w:r>
      <w:r>
        <w:rPr>
          <w:rFonts w:ascii="Calibri" w:hAnsi="Calibri"/>
          <w:b w:val="0"/>
          <w:color w:val="3A4A28"/>
          <w:sz w:val="17"/>
        </w:rPr>
        <w:t>OECD AI Incident Report September 2026 — DraftKings Alleged to Use AI to Target Customers Most Likely to Lose, Ignored Internal Addiction Prevention AI Proposals — OECD.ai, 2026</w:t>
      </w:r>
    </w:p>
    <w:p>
      <w:pPr>
        <w:spacing w:before="20" w:after="20"/>
        <w:ind w:left="170"/>
      </w:pPr>
      <w:r>
        <w:rPr>
          <w:rFonts w:ascii="Calibri" w:hAnsi="Calibri"/>
          <w:b/>
          <w:color w:val="4A6B25"/>
          <w:sz w:val="15"/>
        </w:rPr>
        <w:t xml:space="preserve">4. </w:t>
      </w:r>
      <w:r>
        <w:rPr>
          <w:rFonts w:ascii="Calibri" w:hAnsi="Calibri"/>
          <w:b w:val="0"/>
          <w:color w:val="3A4A28"/>
          <w:sz w:val="17"/>
        </w:rPr>
        <w:t>DraftKings ESG and Sustainability Reports — Responsible Gaming Tools, Community Programs — CSRWire, DraftKings Investor Relations, 2021–2026</w:t>
      </w:r>
    </w:p>
    <w:p>
      <w:pPr>
        <w:spacing w:before="20" w:after="20"/>
        <w:ind w:left="170"/>
      </w:pPr>
      <w:r>
        <w:rPr>
          <w:rFonts w:ascii="Calibri" w:hAnsi="Calibri"/>
          <w:b/>
          <w:color w:val="4A6B25"/>
          <w:sz w:val="15"/>
        </w:rPr>
        <w:t xml:space="preserve">5. </w:t>
      </w:r>
      <w:r>
        <w:rPr>
          <w:rFonts w:ascii="Calibri" w:hAnsi="Calibri"/>
          <w:b w:val="0"/>
          <w:color w:val="3A4A28"/>
          <w:sz w:val="17"/>
        </w:rPr>
        <w:t>DraftKings Insider Trading Activity — CEO Robins RSU Vesting, Board-Level Purchases — GuruFocus, SEC Form 4,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