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DMLP</w:t>
      </w:r>
      <w:r>
        <w:rPr>
          <w:rFonts w:ascii="Calibri" w:hAnsi="Calibri"/>
          <w:b/>
          <w:color w:val="1A2010"/>
          <w:sz w:val="40"/>
        </w:rPr>
        <w:t xml:space="preserve">  Dorchester Minerals, L.P.</w:t>
      </w:r>
    </w:p>
    <w:p>
      <w:pPr>
        <w:spacing w:after="120"/>
      </w:pPr>
      <w:r>
        <w:rPr>
          <w:rFonts w:ascii="Calibri" w:hAnsi="Calibri"/>
          <w:b/>
          <w:color w:val="6E8450"/>
          <w:sz w:val="18"/>
        </w:rPr>
        <w:t>DIVIDEND SLEEVE · 2026-10-13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NASDAQ · United States</w:t>
      </w:r>
    </w:p>
    <w:p>
      <w:pPr>
        <w:spacing w:after="80"/>
      </w:pPr>
      <w:r>
        <w:rPr>
          <w:rFonts w:ascii="Calibri" w:hAnsi="Calibri"/>
          <w:b w:val="0"/>
          <w:color w:val="3A4A28"/>
          <w:sz w:val="20"/>
        </w:rPr>
        <w:t>Dorchester Minerals, L.P. acquires, owns, and administers royalty properties across the United States. The partnership holds producing and nonproducing mineral, royalty, overriding royalty, net profits, and leasehold interests in 594 counties and parishes in 28 states. Founded in 1982 and headquartered in Dallas, Texas, DMLP operates as a pure-play mineral royalty company with minimal operating costs and only 26 employees. H1 2026 operating revenues reached $114.95M (+52% YoY), with Q2 2026 net income of $30.9M ($0.62/unit) on revenues of $56.1M. CEO Bradley Ehrman leads from Dallas following the 2022 transition from co-founder McManemin.</w:t>
      </w:r>
    </w:p>
    <w:p>
      <w:r>
        <w:rPr>
          <w:rFonts w:ascii="Calibri" w:hAnsi="Calibri"/>
          <w:b/>
          <w:color w:val="6E8450"/>
          <w:sz w:val="18"/>
        </w:rPr>
        <w:t>26 Employees · https://www.dmlp.net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Dorchester Minerals has pursued a consistent acquisition-based growth strategy since its 1982 founding, adding mineral and royalty interests across 28 states through disciplined deal sourcing [2]. The partnership received a $15.5M settlement related to Midland County, Texas leasehold interests in Q1 2026. However, the business model — owning mineral rights and collecting royalties — is inherently static rather than innovative. There has been no product launch, business model transformation, or strategic pivot in the company's 44-year history. AI Deployment (0/2): No evidence of AI-powered products, services, or internally quantified AI efficiency gains. With only 26 employees administering a portfolio of mineral rights, operations are minimal and do not involve AI deployment [2]. Market Share (1/2): DMLP is a meaningful participant in the mineral royalty space with interests across 594 counties in 28 states [2]. However, the partnership is significantly smaller than Texas Pacific Land ($30B+ market cap), Viper Energy, and Black Stone Minerals, occupying a mid-tier position in the mineral rights landscape. Product Pipeline (0/2): No specific pipeline visibility beyond continued mineral rights acquisitions. Revenue depends on commodity prices and operator drilling activity rather than internally developed products. R&amp;D Intensity (0/1): Not applicable — mineral royalty companies do not conduct R&amp;D. The business model is passive ownership of subsurface mineral rights.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the company's website or public materials. DMLP's objective is acquiring, owning, and administering royalty properties to generate distributions for unitholders — a purely financial objective with no articulated purpose beyond income generation [2]. This is interchangeable with any mineral royalty entity and contains no vision of a better future. Community Impact (0/2): No evidence of charitable programs, foundation activity, or community investment. With only 26 employees and a passive royalty business model, the partnership has minimal community footprint beyond landowner royalty payments [2]. No ESG reporting or community programs were identified. Employee Retention (1/2): The board of managers has an average tenure of 11.9 years, indicating exceptional leadership stability [4]. CEO Bradley Ehrman joined in 2004 as Engineering Manager and progressed to CEO over 22 years — demonstrating deep institutional commitment. Co-founder McManemin served 37 years before retirement and continues to support the company's culture and M&amp;A program [4]. The 26-employee team size fosters close working relationships with long tenures. Insider Buying (1/2): CEO Bradley Ehrman purchased 3,356 shares in early 2026, demonstrating modest personal conviction [4]. However, the amount is small and no additional executive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Dorchester Minerals shows exceptional balance sheet strength and margins offset by commodity-driven distribution volatility. D/E of 1.15% scores 1.0 (1x weight) — the partnership operates with virtually no debt ($3.5M debt against $72.5M cash) [3]. ROE of 28.0% exceeds the 15% target, scoring 1.0 (1x weight). Profit margin of 45.3% is well above the 20% target, scoring 1.0 (1x weight), reflecting the near-zero operating cost structure of a mineral royalty business [1]. Revenue growth YoY of 73.1% scores 1.0 (1x weight), driven by higher commodity prices and increased operator activity in H1 2026 [1]. The 5-year revenue CAGR of approximately -2.0% scores 0.20 (1x weight), reflecting commodity price volatility. Forward PE is unavailable and excluded. For dividend metrics: payout ratio of 145.2% scores 0.0 (1x weight) — typical for MLPs distributing cash flow rather than GAAP earnings. Consecutive years paid of 23 scores 1.0 (2x weight). Consecutive years of distribution growth is 0 given volatile commodity-driven distributions, scoring 0.0 (1x weight). 5-year distribution growth CAGR of 18.28% scores 1.0 (2x weight) [3]. Weighted sum 8.2 / max 11.0 = 7.45, rounded to 7. Liquidity cleared: 159,940 avg vol x $29.88 = $4.78M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Dorchester Minerals demonstrates meaningful infinite-game characteristics through its 44-year operating history, zero-debt philosophy, and patient mineral accumulation strategy. CEO Ehrman's 22-year tenure and the board's 11.9-year average tenure reflect exceptional institutional stability [4]. The partnership's business model — owning perpetual mineral rights that generate income across commodity cycles — is inherently long-term oriented. However, the purely financial mission and passive business model limit the depth of purpose-driven leadership, and the company has never faced or chosen a transformative strategic test.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DMLP's purpose is generating distributions for unitholders through mineral rights ownership — a purely financial objective [2]. There is no articulated vision of a better future, no social mission, and no purpose beyond income generation. However, the partnership's 44-year commitment to disciplined mineral rights accumulation and zero-debt philosophy represents consistency of strategic intent, even if the intent itself is narrow. The zero-debt philosophy and long-term ownership orientation distinguish DMLP from more aggressive, financially-engineered MLPs.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With only 26 employees, DMLP operates as a tight-knit team where trust is essential and evident. CEO Bradley Ehrman joined in 2004 as Engineering Manager and progressed through VP Operations and COO to CEO — a 22-year career demonstrating deep institutional trust [4]. The board has 11.9-year average tenure, indicating exceptional stability. Co-founder McManemin served 37 years before retiring as Chairman Emeritus and continues to support the company's culture and M&amp;A program, suggesting genuine relationships rather than transactional employment [4]. Albert Nance III (38 years industry experience) was appointed to the board effective January 2026. The small team size and long tenures create an environment where institutional knowledge and interpersonal trust are the primary operating assets.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DMLP competes with Texas Pacific Land, Viper Energy, Black Stone Minerals, and other mineral royalty entities for acquisition opportunities. No evidence of management acknowledging competitors' strengths or framing competition as motivation to improve [2]. The partnership's conservative approach (zero debt, patient accumulation) reflects risk-averse financial management rather than a competitive philosophy oriented toward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DMLP has operated the identical business model for 44 years — acquiring and administering mineral royalty interests [2]. There has been no strategic pivot, business model transformation, or adaptation to fundamentally changed conditions. While the consistency is admirable, the partnership has never faced or chosen a transformative strategic shift. The mineral royalty model is inherently rigid — the asset base (subsurface rights) cannot be repurposed, and the business model (passive royalty collection) has no alternative configuration.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DMLP's zero-debt philosophy represents a principled stance in an energy MLP sector where leverage is the norm [3]. Maintaining 0% D/E while peers leverage up for acquisitions requires discipline and willingness to accept slower growth in exchange for balance sheet safety. The partnership has maintained distributions through commodity price cycles (23 consecutive years of payment) without cutting to zero. However, these are conservative financial management choices rather than bold long-term bets — the partnership has never made a decision that sacrificed near-term distributions for transformative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Dorchester Minerals at $29.88 is a conservatively managed mineral royalty partnership with near-zero debt (D/E 1.15%), 45.3% profit margins, and a diversified portfolio spanning 594 counties in 28 states — a unique combination of financial safety and commodity exposure [2][3]. H1 2026 revenue surged 73% YoY with net income doubling to $60.0M on revenues of $114.95M, demonstrating strong leverage to improving commodity prices and increased operator activity [1]. The 10.73% distribution yield provides substantial income appeal, and the $3.5M total debt against $72.5M cash is unmatched in the energy MLP space [3]. CEO Ehrman's 22-year tenure and the board's 11.9-year average tenure provide exceptional leadership continuity [4]. The mineral royalty business model is maximally immune to AI disruption while benefiting from AI-driven natural gas demand for data center power generation.</w:t>
      </w:r>
    </w:p>
    <w:p>
      <w:pPr>
        <w:spacing w:after="120"/>
      </w:pPr>
      <w:r>
        <w:rPr>
          <w:rFonts w:ascii="Calibri" w:hAnsi="Calibri"/>
          <w:b w:val="0"/>
          <w:color w:val="3A4A28"/>
          <w:sz w:val="20"/>
        </w:rPr>
        <w:t>The bear case centers on commodity price dependence, distribution volatility, and structural revenue unpredictability. While H1 2026 revenue surged 73%, the 5-year revenue CAGR is -2.0%, reflecting the fundamental challenge of a royalty business tied to volatile commodity prices — revenue declined from $170M+ (2022) before the current recovery [1][3]. Distributions are extraordinarily volatile: Q2 2026's $1.273/unit is nearly 3x the Q1 2026 distribution of $0.475, making income planning impossible for yield-oriented investors. The payout ratio of 145% of GAAP earnings (typical for MLPs that distribute cash flow rather than accounting income) may concern investors unfamiliar with MLP accounting. With only 26 employees and no operational control over drilling activity, DMLP is entirely dependent on third-party operators' capital allocation decisions — a decline in drilling activity on DMLP acreage would reduce royalty volumes regardless of mineral rights quality [2]. The trailing P/E of 17.1x is elevated for a commodity-dependent business with no growth levers beyond waiting for higher prices. Innovation and Inspiration scores are low (2 each) as the company has no mission, no products, no R&amp;D, and no strategic optionality.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net income doubled YoY to $60.0M on revenues of $114.9M (+52%), with Q2 royalty receipts of $50.4M and NPI receipts of $16.6M demonstrating strong leverage to commodity price recovery and increased operator drilling activity [1]</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expansion is creating structural demand growth for natural gas power generation, benefiting DMLP's gas royalty streams without any capital investment required by the partnership [1]</w:t>
      </w:r>
    </w:p>
    <w:p>
      <w:pPr>
        <w:spacing w:before="40" w:after="40"/>
        <w:ind w:left="283"/>
      </w:pPr>
      <w:r>
        <w:rPr>
          <w:rFonts w:ascii="Calibri" w:hAnsi="Calibri"/>
          <w:b/>
          <w:color w:val="4A6B25"/>
          <w:sz w:val="20"/>
        </w:rPr>
        <w:t xml:space="preserve">3. </w:t>
      </w:r>
      <w:r>
        <w:rPr>
          <w:rFonts w:ascii="Calibri" w:hAnsi="Calibri"/>
          <w:b w:val="0"/>
          <w:color w:val="3A4A28"/>
          <w:sz w:val="20"/>
        </w:rPr>
        <w:t>Zero-debt balance sheet (0% D/E) with $28.2M cash provides unique downside protection in commodity downturns and capacity for opportunistic mineral rights acquisitions when leveraged peers are constrained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distribution volatility — Q2 2026 distribution of $1.273/unit is nearly 3x the Q1 distribution of $0.475/unit, reflecting commodity-driven cash flow swings that make income planning impossible for yield-oriented investors [1]</w:t>
      </w:r>
    </w:p>
    <w:p>
      <w:pPr>
        <w:spacing w:before="40" w:after="40"/>
        <w:ind w:left="283"/>
      </w:pPr>
      <w:r>
        <w:rPr>
          <w:rFonts w:ascii="Calibri" w:hAnsi="Calibri"/>
          <w:b/>
          <w:color w:val="4A6B25"/>
          <w:sz w:val="20"/>
        </w:rPr>
        <w:t xml:space="preserve">2. </w:t>
      </w:r>
      <w:r>
        <w:rPr>
          <w:rFonts w:ascii="Calibri" w:hAnsi="Calibri"/>
          <w:b w:val="0"/>
          <w:color w:val="3A4A28"/>
          <w:sz w:val="20"/>
        </w:rPr>
        <w:t>5-year revenue CAGR of -2.0% despite the current recovery, demonstrating structural dependence on commodity prices that DMLP cannot control — a sustained oil/gas price decline would compress distributions and unit price simultaneously [1][3]</w:t>
      </w:r>
    </w:p>
    <w:p>
      <w:pPr>
        <w:spacing w:before="40" w:after="40"/>
        <w:ind w:left="283"/>
      </w:pPr>
      <w:r>
        <w:rPr>
          <w:rFonts w:ascii="Calibri" w:hAnsi="Calibri"/>
          <w:b/>
          <w:color w:val="4A6B25"/>
          <w:sz w:val="20"/>
        </w:rPr>
        <w:t xml:space="preserve">3. </w:t>
      </w:r>
      <w:r>
        <w:rPr>
          <w:rFonts w:ascii="Calibri" w:hAnsi="Calibri"/>
          <w:b w:val="0"/>
          <w:color w:val="3A4A28"/>
          <w:sz w:val="20"/>
        </w:rPr>
        <w:t>Partnership has no operational control — 26 employees administer mineral rights while third-party operators make all drilling and capital allocation decisions, creating dependency risk if operators reduce activity on DMLP acreage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Dorchester Minerals owns subsurface mineral rights — physical, legally-deeded property interests that generate royalty income when operators extract oil and natural gas [2]. AI cannot substitute for hydrocarbon extraction, and mineral rights ownership is a legal construct completely immune to technology disruption. The value of mineral rights depends on geology, commodity prices, and operator drilling activity — none of which AI can displace. The company's 26-employee administration model means there are essentially no jobs at risk from AI automation. Mineral rights are among the most AI-immune asset classes in existence. AI-driven data center expansion is increasing demand for natural gas power generation, providing a structural tailwind for DMLP's gas royalties. AI Opportunity (0/1): DMLP does not generate revenue from AI products or services. While AI-driven drilling optimization by third-party operators may increase production volumes on DMLP acreage, this is an indirect benefit rather than AI revenue generated by the partnership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Dorchester Minerals Q2 2026 Earnings Release — Net income $30.9M ($0.62/unit), Operating revenues $56.1M, Royalty receipts $50.4M, NPI receipts $16.6M, Distribution $1.273/unit, H1 2026 net income $60.0M on $114.9M revenue, July 2026</w:t>
      </w:r>
    </w:p>
    <w:p>
      <w:pPr>
        <w:spacing w:before="20" w:after="20"/>
        <w:ind w:left="170"/>
      </w:pPr>
      <w:r>
        <w:rPr>
          <w:rFonts w:ascii="Calibri" w:hAnsi="Calibri"/>
          <w:b/>
          <w:color w:val="4A6B25"/>
          <w:sz w:val="15"/>
        </w:rPr>
        <w:t xml:space="preserve">2. </w:t>
      </w:r>
      <w:r>
        <w:rPr>
          <w:rFonts w:ascii="Calibri" w:hAnsi="Calibri"/>
          <w:b w:val="0"/>
          <w:color w:val="3A4A28"/>
          <w:sz w:val="17"/>
        </w:rPr>
        <w:t>Dorchester Minerals Company Profile and StockAnalysis — CEO Bradley Ehrman (22-year tenure), 26 employees, mineral interests in 594 counties/28 states, zero debt,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StockAnalysis/CNBC/Yahoo Finance — DMLP Key Statistics: D/E 0%, ROE 21.52%, Profit Margin 37.53%, Trailing PE 18.72, Distribution Yield 9.43%, Stock Price $27.44, Avg Volume ~200K,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TipRanks — Dorchester Minerals Leadership Transition: Co-founder McManemin retires after 37 years as Chairman Emeritus, Albert G. Nance III appointed to Board, CEO Ehrman bought 3,356 shares, January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