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DNLI</w:t>
      </w:r>
      <w:r>
        <w:rPr>
          <w:rFonts w:ascii="Calibri" w:hAnsi="Calibri"/>
          <w:b/>
          <w:color w:val="1A2010"/>
          <w:sz w:val="40"/>
        </w:rPr>
        <w:t xml:space="preserve">  Denali Therapeutics Inc.</w:t>
      </w:r>
    </w:p>
    <w:p>
      <w:pPr>
        <w:spacing w:after="120"/>
      </w:pPr>
      <w:r>
        <w:rPr>
          <w:rFonts w:ascii="Calibri" w:hAnsi="Calibri"/>
          <w:b/>
          <w:color w:val="6E8450"/>
          <w:sz w:val="18"/>
        </w:rPr>
        <w:t>GROWTH SLEEVE · 2026-09-16 · Inspire: 31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Denali Therapeutics discovers and develops therapeutics for neurodegenerative and lysosomal storage diseases using its proprietary Transport Vehicle (TV) platform for blood-brain barrier crossing. Lead product AVLAYAH (tividenofusp alfa) received FDA accelerated approval in March 2026 for Hunter syndrome and generated $3.6M in Q2 2026 net product revenue (first full commercial quarter) with Q3 guidance of $10-12M. Pipeline includes programs targeting Alzheimer's (DNL628, DNL921), Parkinson's (BIIB122), frontotemporal dementia (DNL593), and Sanfilippo syndrome (DNL126). Cash position of approximately $940M at Q2 end, pro forma $1.1B+ after Priority Review Voucher sale.</w:t>
      </w:r>
    </w:p>
    <w:p>
      <w:r>
        <w:rPr>
          <w:rFonts w:ascii="Calibri" w:hAnsi="Calibri"/>
          <w:b/>
          <w:color w:val="6E8450"/>
          <w:sz w:val="18"/>
        </w:rPr>
        <w:t>503 Employees · https://www.denalitherapeutics.com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AVLAYAH received FDA accelerated approval in March 2026 and generated $3.6M in Q2 2026 net product revenue in its first full commercial quarter, with Q3 guidance of $10-12M indicating rapid ramp [1]. The TV platform represents a genuine scientific breakthrough — the first medicine using transferrin receptor technology to cross the blood-brain barrier. Two Alzheimer's disease programs (DNL628 targeting tau and DNL921 targeting Abeta) advanced into clinical development in 2026 [1]. AI Deployment (1/2): Denali is recognized among 'best AI-driven biotech stocks' and is increasing use of AI systems to enhance productivity and drug discovery through the PharmEnable partnership for small molecule neurological candidates [2]. No specific AI revenue or quantified cost savings reported. Market Share (1/2): AVLAYAH holds monopoly position as the only approved treatment for neurologic manifestations of Hunter syndrome, with &gt;50% commercial payer coverage secured and 14 state Medicaid programs enrolled within months of launch [1]. Addressable population of ~500 US patients limits absolute market size. Pipeline (2/2): Specific next-generation products with timelines: DNL628 and DNL921 in Alzheimer's with initial data expected 2027; DNL593 in FTD-GRN with Phase I/II data H1 2027; BIIB122 Phase 2b LUMA readout in Parkinson's; eclitasertib in inflammatory diseases [1]. R&amp;D Intensity (1/1): R&amp;D comprises the vast majority of operating expenses, placing Denali among the most R&amp;D-intensive biotechs — typical for clinical-stage companies but reflecting genuine commitment to innovation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Denali's mission to 'defeat neurodegeneration' is specific, bold, and idealistic — it describes a future state that can never be fully achieved and connects the company's work to alleviating devastating diseases affecting millions. CEO Ryan Watts has led the company since its 2015 founding with consistent focus on this mission, and AVLAYAH's approval validates purpose-driven strategic decisions [1][2]. Core values of trust, growth, grit, and unity reflect genuine intentionality. Community Impact (1/2): AVLAYAH's commercial launch provides the first treatment for neurologic Hunter syndrome complications, directly serving an underserved population with a devastating rare disease. The company's Green Alternative sustainability program and waste management practices demonstrate environmental awareness [3]. No specific philanthropic dollar amounts identified. Employee Retention (1/2): Glassdoor rating of 4.0/5 for culture and values, with employees citing 'management for the most part are excellent, with clear goals' and 'good company culture and interesting science' [2]. However, some reviews note 'lack of transparency from leadership' and limited internal promotion opportunities. CEO Watts's 11-year tenure provides leadership continuity. Insider Buying (0/2): No evidence of meaningful net insider buying by CEO Watts or other executives in the past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limited available metrics — most financial ratios are not meaningful for a newly commercial biotech. D/E of 4.5% reflects a nearly debt-free balance sheet ($37.7M debt against $940M+ cash), scoring 1.0 [4]. ROE of -54.9% reflects significant operating losses, scoring 0.0. Profit margin of 0% scores 0.0 [4]. Revenue growth, forward P/E, and PEG ratio are unavailable or not meaningful (forward P/E of -8.4 reflects expected continued losses). AVLAYAH generated $3.6M in Q2 2026 with Q3 guidance of $10-12M, representing the earliest stage of commercial revenue ramp [1]. Cash position of $940M at Q2 end ($1.1B+ pro forma after Priority Review Voucher sale in July) provides approximately 3+ years of runway at current burn rates [1]. Operating cash outflow of $434M annually underscores the pre-profitability reality. Liquidity floor cleared at ~$32.4M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Denali under co-founder CEO Ryan Watts demonstrates genuine infinite game thinking: an 11-year commitment to defeating neurodegeneration, patience through $2B+ in pre-revenue investment, and the principled decision to first target rare diseases affecting ~500 patients before pursuing larger indications. The AVLAYAH approval and commercial launch validate this long-term orientation. Two Alzheimer's programs entering the clinic in 2026 signal expanding ambition aligned with the cause. The primary finite game risk is that commercial-stage pressures may shift focus from scientific mission to quarterly revenue metrics.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Denali's mission to 'defeat neurodegeneration' meets Sinek's criteria: resilient (transcends any single product), inclusive (invites collaboration with Biogen, Takeda), service-oriented (serves patients with devastating diseases), idealistic, and too big to ever fully achieve. The AVLAYAH approval and advancement of two Alzheimer's programs into clinical development validate that the cause shapes strategic decisions [1]. However, the company is still founder-led with no leadership transition test, and the cause hasn't yet been proven through decades of multi-leader consistency.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4.0/5 for culture and values with employees citing 'good company culture and interesting science' and 'management for the most part are excellent with clear goals' [2]. CEO Watts's 11-year tenure provides leadership stability. However, some reviews cite 'lack of transparency from leadership' and 'no room for growth or promotion' with leadership positions sourced externally, suggesting inconsistent trust across organizational levels [2]. The 503-person workforce reflects a small, science-focused team where cultural cohesion is more achievable.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Denali positions itself around the uniqueness of its TV platform rather than explicitly acknowledging competitors' strengths. While operating alongside Biogen, Roche, Eli Lilly, and other neuroscience-focused biotechs, competitive language centers on proprietary platform advantages rather than learning from rivals [1]. The collaboration-then-independence pattern with Biogen and Takeda suggests a self-reliant approach rather than a competitive mindset oriented toward mutual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Denali has demonstrated meaningful strategic flexibility: pivoting from collaboration-dependent development to independent commercialization after Takeda's exit (regaining DNL593 rights), expanding from pure rare disease to Alzheimer's and Parkinson's applications, and evolving from pre-clinical research company to commercial-stage biotech with the AVLAYAH launch [1]. The decision to pursue Hunter syndrome first (a tiny market) to prove the platform before targeting larger indications shows strategic sophistication. However, the core platform technology has remained consistent — flexibility has been in application rather than fundamental reinvention.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Denali demonstrates a pattern of courageous leadership: $2B+ invested over a decade of pre-revenue development; launching AVLAYAH for ~500 Hunter syndrome patients rather than waiting for larger commercial markets; regaining Takeda rights and raising capital independently rather than accepting unfavorable partnership terms; advancing two Alzheimer's programs simultaneously into the most challenging neurodegenerative market; and CEO Watts delivering the opening AAIC plenary on brain-delivery plans [1][2]. The $200M Royalty Pharma deal and PRV sale demonstrate creative capital raising to fund long-term vision without excessive dilution.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Denali has reached a transformative inflection point with AVLAYAH generating $3.6M in Q2 2026 net product revenue in its first full commercial quarter, with Q3 guidance of $10-12M indicating faster-than-expected adoption and &gt;50% commercial payer coverage secured within months of launch [1]. The $940M cash position ($1.1B+ pro forma after PRV sale) provides 3+ years of runway, eliminating near-term dilution risk. The proprietary TV platform for blood-brain barrier crossing has been clinically validated and is now being applied to Alzheimer's disease via two programs (DNL628 targeting tau, DNL921 targeting Abeta) with initial data expected 2027 [1]. At a $3.3B market cap, the risk-reward is asymmetric: AVLAYAH alone has consensus peak sales exceeding $250M, and success in any Alzheimer's or Parkinson's program would be transformative against a $50B+ addressable market.</w:t>
      </w:r>
    </w:p>
    <w:p>
      <w:pPr>
        <w:spacing w:after="120"/>
      </w:pPr>
      <w:r>
        <w:rPr>
          <w:rFonts w:ascii="Calibri" w:hAnsi="Calibri"/>
          <w:b w:val="0"/>
          <w:color w:val="3A4A28"/>
          <w:sz w:val="20"/>
        </w:rPr>
        <w:t>The bear case reflects persistent pre-profitability risk and binary clinical outcomes. Denali remains deeply unprofitable with ROE of -55%, profit margin of 0%, and annual operating cash outflow of ~$434M [4]. AVLAYAH's addressable market of ~500 US Hunter syndrome patients limits near-term revenue scale, and the accelerated approval pathway requires confirmatory trial success for full FDA approval. The stock has declined from $23.83 to $20.38 (-14%) since Q1, potentially reflecting pipeline risk after DNL593 data was pushed from year-end 2026 to H1 2027 [1]. The market cap of $3.3B already prices in meaningful pipeline success, and binary clinical risk is acute — failure of the BIIB122 Phase 2b LUMA readout in Parkinson's or DNL593 in FTD would significantly impair platform valuation. Glassdoor reviews citing 'lack of transparency' and limited internal promotion suggest organizational challenges as Denali transitions from research to commercial operations [2]. Forward P/E of -8.4 underscores that profitability remains years away.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AVLAYAH commercial ramp accelerating from $3.6M in Q2 to $10-12M guided for Q3 2026, with &gt;50% payer coverage and 14 Medicaid programs — faster-than-expected adoption validates the TV platform's commercial viability and peak US sales projections exceeding $250M [1]</w:t>
      </w:r>
    </w:p>
    <w:p>
      <w:pPr>
        <w:spacing w:before="40" w:after="40"/>
        <w:ind w:left="283"/>
      </w:pPr>
      <w:r>
        <w:rPr>
          <w:rFonts w:ascii="Calibri" w:hAnsi="Calibri"/>
          <w:b/>
          <w:color w:val="4A6B25"/>
          <w:sz w:val="20"/>
        </w:rPr>
        <w:t xml:space="preserve">2. </w:t>
      </w:r>
      <w:r>
        <w:rPr>
          <w:rFonts w:ascii="Calibri" w:hAnsi="Calibri"/>
          <w:b w:val="0"/>
          <w:color w:val="3A4A28"/>
          <w:sz w:val="20"/>
        </w:rPr>
        <w:t>DNL628 (tau) and DNL921 (Abeta) Alzheimer's programs in clinical development with initial data expected 2027 — success in either program would dramatically expand Denali's addressable market from rare disease to the $50B+ Alzheimer's therapeutic market [1]</w:t>
      </w:r>
    </w:p>
    <w:p>
      <w:pPr>
        <w:spacing w:before="40" w:after="40"/>
        <w:ind w:left="283"/>
      </w:pPr>
      <w:r>
        <w:rPr>
          <w:rFonts w:ascii="Calibri" w:hAnsi="Calibri"/>
          <w:b/>
          <w:color w:val="4A6B25"/>
          <w:sz w:val="20"/>
        </w:rPr>
        <w:t xml:space="preserve">3. </w:t>
      </w:r>
      <w:r>
        <w:rPr>
          <w:rFonts w:ascii="Calibri" w:hAnsi="Calibri"/>
          <w:b w:val="0"/>
          <w:color w:val="3A4A28"/>
          <w:sz w:val="20"/>
        </w:rPr>
        <w:t>Cash position of $1.1B+ (pro forma post-PRV sale) provides 3+ years of runway, insulating against dilution risk and enabling simultaneous advancement of multiple pipeline programs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AVLAYAH addressable market of ~500 US Hunter syndrome patients limits near-term revenue scale, and accelerated approval requires confirmatory trial success for full FDA approval — failure would force withdrawal [1]</w:t>
      </w:r>
    </w:p>
    <w:p>
      <w:pPr>
        <w:spacing w:before="40" w:after="40"/>
        <w:ind w:left="283"/>
      </w:pPr>
      <w:r>
        <w:rPr>
          <w:rFonts w:ascii="Calibri" w:hAnsi="Calibri"/>
          <w:b/>
          <w:color w:val="4A6B25"/>
          <w:sz w:val="20"/>
        </w:rPr>
        <w:t xml:space="preserve">2. </w:t>
      </w:r>
      <w:r>
        <w:rPr>
          <w:rFonts w:ascii="Calibri" w:hAnsi="Calibri"/>
          <w:b w:val="0"/>
          <w:color w:val="3A4A28"/>
          <w:sz w:val="20"/>
        </w:rPr>
        <w:t>Binary pipeline risk concentrated in 2027 readouts — DNL593 data pushed to H1 2027 (from year-end 2026), and failure of BIIB122 in Parkinson's or DNL628/DNL921 in Alzheimer's would significantly impair the $3.3B market cap built on platform optionality [1]</w:t>
      </w:r>
    </w:p>
    <w:p>
      <w:pPr>
        <w:spacing w:before="40" w:after="40"/>
        <w:ind w:left="283"/>
      </w:pPr>
      <w:r>
        <w:rPr>
          <w:rFonts w:ascii="Calibri" w:hAnsi="Calibri"/>
          <w:b/>
          <w:color w:val="4A6B25"/>
          <w:sz w:val="20"/>
        </w:rPr>
        <w:t xml:space="preserve">3. </w:t>
      </w:r>
      <w:r>
        <w:rPr>
          <w:rFonts w:ascii="Calibri" w:hAnsi="Calibri"/>
          <w:b w:val="0"/>
          <w:color w:val="3A4A28"/>
          <w:sz w:val="20"/>
        </w:rPr>
        <w:t>Annual operating cash outflow of ~$434M with ROE of -55% means profitability remains years away, and even with $1.1B+ cash, a prolonged development timeline or commercial disappointment could force dilutive financing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Biopharmaceutical drug development requires FDA-regulated clinical trials, complex biological manufacturing (AVLAYAH requires IV infusion every 4 weeks), and physician-patient treatment relationships that AI cannot replace [1]. Denali's proprietary TV platform for blood-brain barrier crossing represents physical/biological intellectual property — protein engineering, receptor targeting, and GMP biologics manufacturing — that AI alone cannot replicate. The regulatory moat (FDA approval, orphan drug designation, accelerated approval pathways) creates structural protection. AI is transforming drug discovery timelines, which could benefit competitors entering Denali's therapeutic areas, but the combination of proprietary platform, clinical data, and regulatory approvals creates meaningful defensive moats [2]. AI Opportunity (0/1): Denali uses AI internally for drug discovery via the PharmEnable partnership and is recognized among AI-driven biotechs, but does not generate external AI revenue — these tools accelerate internal R&amp;D rather than producing saleable AI products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Denali Therapeutics Q2 2026 Financial Results — AVLAYAH $3.6M Net Product Revenue (First Full Quarter), Q3 Guidance $10-12M, &gt;50% Payer Coverage, DNL628/DNL921 Alzheimer's Programs in Clinic, DNL593 Data H1 2027, Cash $940M ($1.1B+ Pro Forma Post-PRV Sale), August 2026</w:t>
      </w:r>
    </w:p>
    <w:p>
      <w:pPr>
        <w:spacing w:before="20" w:after="20"/>
        <w:ind w:left="170"/>
      </w:pPr>
      <w:r>
        <w:rPr>
          <w:rFonts w:ascii="Calibri" w:hAnsi="Calibri"/>
          <w:b/>
          <w:color w:val="4A6B25"/>
          <w:sz w:val="15"/>
        </w:rPr>
        <w:t xml:space="preserve">2. </w:t>
      </w:r>
      <w:r>
        <w:rPr>
          <w:rFonts w:ascii="Calibri" w:hAnsi="Calibri"/>
          <w:b w:val="0"/>
          <w:color w:val="3A4A28"/>
          <w:sz w:val="17"/>
        </w:rPr>
        <w:t>Denali Therapeutics Leadership, AI Strategy, Culture — CEO Ryan Watts (Founded 2015), PharmEnable AI Partnership, Glassdoor 4.0/5 Culture, AAIC 2026 Plenary,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Denali Therapeutics ESG Profile — Sustainalytics Assessment, Green Alternative Sustainability Program, Core Values: Trust Growth Grit Unity,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Denali Therapeutics Financial Statistics — Yahoo Finance: Stock Price $20.38, Market Cap $3.3B, D/E 4.5%, ROE -54.9%, Forward P/E -8.42, Cash $710M, Free Cash Flow -$269M, Avg Volume 1.59M,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