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DNN</w:t>
      </w:r>
      <w:r>
        <w:rPr>
          <w:rFonts w:ascii="Calibri" w:hAnsi="Calibri"/>
          <w:b/>
          <w:color w:val="1A2010"/>
          <w:sz w:val="40"/>
        </w:rPr>
        <w:t xml:space="preserve">  Denison Mines Corp.</w:t>
      </w:r>
    </w:p>
    <w:p>
      <w:pPr>
        <w:spacing w:after="120"/>
      </w:pPr>
      <w:r>
        <w:rPr>
          <w:rFonts w:ascii="Calibri" w:hAnsi="Calibri"/>
          <w:b/>
          <w:color w:val="6E8450"/>
          <w:sz w:val="18"/>
        </w:rPr>
        <w:t>GROWTH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NYSE · Canada</w:t>
      </w:r>
    </w:p>
    <w:p>
      <w:pPr>
        <w:spacing w:after="80"/>
      </w:pPr>
      <w:r>
        <w:rPr>
          <w:rFonts w:ascii="Calibri" w:hAnsi="Calibri"/>
          <w:b w:val="0"/>
          <w:color w:val="3A4A28"/>
          <w:sz w:val="20"/>
        </w:rPr>
        <w:t>Denison Mines Corp. engages in the acquisition, exploration, and development of uranium bearing properties in Canada. It holds a 95% interest in the flagship Wheeler River uranium project in the Athabasca Basin region of northern Saskatchewan, which includes the Phoenix ISR deposit (world's highest-grade undeveloped uranium resource) and the Gryphon underground deposit. In Q2 2026, Denison sold 750,000 lbs U3O8 at $122.16/lb for $91.6M in gross proceeds to fund Phoenix ISR construction, which is underway with first production targeted mid-2028. Market cap approximately $2.3B. Founded in 1954.</w:t>
      </w:r>
    </w:p>
    <w:p>
      <w:r>
        <w:rPr>
          <w:rFonts w:ascii="Calibri" w:hAnsi="Calibri"/>
          <w:b/>
          <w:color w:val="6E8450"/>
          <w:sz w:val="18"/>
        </w:rPr>
        <w:t>139 Employees · https://denisonmines.com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Denison secured CNSC federal construction approval in February 2026 for Phoenix ISR and commenced site preparation and early works — completing a multi-year permitting milestone that represents significant execution for a development-stage uranium company [1]. The Q2 2026 sale of 750,000 lbs U3O8 at $122.16/lb for $91.6M gross proceeds ($64.1M gain, 233% above 2021 cost) demonstrates shrewd capital management and self-funding capability [2]. AI Deployment (0/2): No AI products, AI-powered operations, or quantified AI-driven cost savings — Denison is a traditional mining development company with no AI deployment [3]. Market Share (1/2): Phoenix ISR hosts the world's highest-grade undeveloped uranium deposit with feasibility study base-case operating costs of ~$6.28 USD/lb U3O8, representing a meaningful competitive position, but the company has zero production market share — it is pre-revenue and competing for market position with established producers Cameco and Kazatomprom [1]. Product Pipeline (1/2): Wheeler River encompasses both Phoenix (mid-2028 production target) and Gryphon (after-tax NPV $864M, IRR 37.6%), with construction underway and Wood Canada Limited managing construction, providing specific timeline visibility [1]. R&amp;D Intensity (0/1): Minimal R&amp;D spending relative to a traditional technology company — development-stage mining company focused on construction execution rather than technological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Denison positions itself as enabling carbon-free nuclear energy through responsible uranium mining, addressing baseload clean power needs for the global energy transition — a clear societal contribution but generic for the uranium sector and not uniquely differentiated from peers like NexGen or Cameco [4]. Community Impact (1/2): Denison emphasizes 'best in class' engagement with Indigenous communities in northern Saskatchewan, participates in local employment and training programs, and publishes annual ESG reports highlighting environmental and biodiversity commitments [4]. However, no specific charitable foundation or dollar amounts for community investment were identified. Employee Retention (0/2): Only 139 employees. CEO David Cates has led since 2015 (11 years), providing strong leadership continuity, but no specific turnover or retention data is available for such a small team [3]. Insider Buying (0/2): Net insider selling in the last 12 months. CEO Cates sold approximately 360K shares at ~CA$5.82/share in January 2026, representing 15% of his direct holdings, undermining the leadership conviction narrative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Denison is a pre-production development company with minimal operating revenue (CAD $4.09M TTM), yielding near-zero scores on all financial metrics. D/E of 237.9% scores 0.27 (near the 300% floor) [5]. ROE of -66.8% scores 0.0 at 2x weight (deteriorated significantly from prior screen) [5]. Profit margin of 0.0% scores 0.0. Forward P/E is negative (-65x, reflecting expected continued losses), excluded as meaningless. PEG of 106.9 is above the 3.0 floor, scoring 0.0 at 2x weight. Revenue growth metrics are not meaningful for a company with near-zero revenue base — YoY revenue change of -43.6% is driven by volatile management fee timing, not operating fundamentals. Weighted sum approaches 0 on available metrics, yielding Infrastructure 0. This score reflects the financial reality of a construction-stage mining company; it does not capture the $2.34B NPV Phoenix ISR project under construction. Liquidity passes: $2.57 x ~25M avg vol = ~$64M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Denison has patiently developed the Wheeler River project over more than a decade, demonstrating the multi-generational thinking inherent to mining development. CEO Cates' 11-year tenure and disciplined progression through permitting, engineering, and construction reflect long-term patience. However, Denison is ultimately a single-commodity, single-project company with no transformative purpose beyond uranium extraction, no evidence of existential flexibility, and net insider selling that undermines the infinite game narrative.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Enabling carbon-free nuclear energy through uranium mining addresses a genuine global need, but Denison's articulation is generic for the sector — interchangeable with any uranium miner's positioning around clean energy [4]. The company does not articulate a deeper vision of what the world should look like beyond providing uranium fuel. The cause exists but is shallow — it reads as sector-standard marketing rather than a genuine Just Cause that drives strategic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specialized team of 139 employees with CEO David Cates providing 11 years of leadership continuity since 2015 [3]. Successfully navigating the complex provincial and federal environmental approval process for Wheeler River demonstrates high organizational competence and internal coordination. The addition of a former Ontario Power Generation CEO to the board strengthens governance depth [3]. No specific negative culture indicators found, but the team is too small for Sinek's framework to be meaningfully tested.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Denison competes against Cameco and NexGen Energy in the Athabasca Basin and Kazatomprom globally. Management's competitive language focuses on differentiating through ISR technology and grade advantages rather than market share warfare [1]. CEO Cates serves as a strategic advisor to other uranium companies (Cosa Resources), demonstrating collaborative industry engagement rather than zero-sum competitive thinking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Denison remains a single-commodity uranium company with no evidence of transformative strategic pivots in its history. The progression from exploration to development to construction is linear execution of the original thesis, not existential flexibility. If uranium fundamentals deteriorate or Wheeler River encounters technical issues, there is no fallback business model, diversification, or evidence of willingness to pivot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final investment decision on Phoenix ISR and selling 750,000 lbs of physical uranium ($91.6M) to fund construction while the company generates essentially zero operating revenue demonstrates conviction in long-term project economics [1][2]. The multi-year development timeline requires patient capital deployment against uncertain commodity prices. However, CEO Cates' simultaneous sale of 15% of his personal holdings undermines the leadership conviction narrative, and the stock's decline from $3.26 to $2.57 raises questions about market confidence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Denison Mines holds the world's highest-grade undeveloped uranium deposit (Phoenix ISR) with exceptional project economics — $2.34B pre-tax NPV, 105.9% IRR, and operating costs of $6.28/lb, positioning it as the lowest-cost uranium producer globally when production begins [1]. CNSC construction approval was secured in February 2026, site preparation is underway with Wood Canada managing construction, and first production is targeted mid-2028. The Q2 2026 uranium sale of 750,000 lbs at $122.16/lb for $91.6M ($64.1M gain, 233% return on 2021 cost) demonstrates shrewd capital management and self-funding capability [2]. The AI-driven nuclear renaissance provides a structural tailwind: hyperscaler nuclear power agreements are projected to drive uranium demand higher as data center electricity consumption doubles by 2030 [3].</w:t>
      </w:r>
    </w:p>
    <w:p>
      <w:pPr>
        <w:spacing w:after="120"/>
      </w:pPr>
      <w:r>
        <w:rPr>
          <w:rFonts w:ascii="Calibri" w:hAnsi="Calibri"/>
          <w:b w:val="0"/>
          <w:color w:val="3A4A28"/>
          <w:sz w:val="20"/>
        </w:rPr>
        <w:t>The bear case centers on execution risk, commodity exposure, and deteriorating financial metrics. First Phoenix production is 2+ years away (mid-2028), and construction delays or cost overruns could significantly impair the 105.9% IRR — a judicial review application regarding the provincial environmental assessment adds regulatory uncertainty [4]. ROE has deteriorated to -66.8% and the stock has declined 21% from $3.26 to $2.57, suggesting the market is pricing in elevated execution risk at current construction stage [5]. D/E of 237.9% and forward EPS of -$0.04 reflect the financial reality of a pre-production company that must fund construction through uranium sales and potential capital raises, introducing dilution risk. CEO Cates' sale of 15% of personal holdings and net insider selling raise questions about management conviction at current valuations [5]. Uranium prices are inherently volatile — a sustained decline below $60/lb would compress project margins despite industry-leading costs, and the ISR method has not been commercially deployed at Phoenix's specific high-grade geological conditions, introducing technical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Phoenix ISR construction milestones through 2026-2027 including well field installation, process plant construction, and grid connection — each de-risking the mid-2028 production target and potentially triggering re-rating toward the $2.34B project NPV [1]</w:t>
      </w:r>
    </w:p>
    <w:p>
      <w:pPr>
        <w:spacing w:before="40" w:after="40"/>
        <w:ind w:left="283"/>
      </w:pPr>
      <w:r>
        <w:rPr>
          <w:rFonts w:ascii="Calibri" w:hAnsi="Calibri"/>
          <w:b/>
          <w:color w:val="4A6B25"/>
          <w:sz w:val="20"/>
        </w:rPr>
        <w:t xml:space="preserve">2. </w:t>
      </w:r>
      <w:r>
        <w:rPr>
          <w:rFonts w:ascii="Calibri" w:hAnsi="Calibri"/>
          <w:b w:val="0"/>
          <w:color w:val="3A4A28"/>
          <w:sz w:val="20"/>
        </w:rPr>
        <w:t>AI-driven nuclear power demand from hyperscaler data centers — Microsoft, Amazon, and Google nuclear agreements structurally support long-term uranium prices above $80/lb, directly benefiting Denison's future production economics [3]</w:t>
      </w:r>
    </w:p>
    <w:p>
      <w:pPr>
        <w:spacing w:before="40" w:after="40"/>
        <w:ind w:left="283"/>
      </w:pPr>
      <w:r>
        <w:rPr>
          <w:rFonts w:ascii="Calibri" w:hAnsi="Calibri"/>
          <w:b/>
          <w:color w:val="4A6B25"/>
          <w:sz w:val="20"/>
        </w:rPr>
        <w:t xml:space="preserve">3. </w:t>
      </w:r>
      <w:r>
        <w:rPr>
          <w:rFonts w:ascii="Calibri" w:hAnsi="Calibri"/>
          <w:b w:val="0"/>
          <w:color w:val="3A4A28"/>
          <w:sz w:val="20"/>
        </w:rPr>
        <w:t>Additional uranium inventory monetization — Denison's remaining physical uranium holdings can be sold at spot prices to self-fund construction without dilutive equity raises, as demonstrated by the $91.6M Q2 2026 sale generating 233%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execution risk — delays or cost overruns at Phoenix ISR could push first production beyond mid-2028 and erode the 105.9% IRR; judicial review of provincial environmental assessment adds regulatory uncertainty; the ISR method is unproven at Phoenix's specific geological conditions [1][4]</w:t>
      </w:r>
    </w:p>
    <w:p>
      <w:pPr>
        <w:spacing w:before="40" w:after="40"/>
        <w:ind w:left="283"/>
      </w:pPr>
      <w:r>
        <w:rPr>
          <w:rFonts w:ascii="Calibri" w:hAnsi="Calibri"/>
          <w:b/>
          <w:color w:val="4A6B25"/>
          <w:sz w:val="20"/>
        </w:rPr>
        <w:t xml:space="preserve">2. </w:t>
      </w:r>
      <w:r>
        <w:rPr>
          <w:rFonts w:ascii="Calibri" w:hAnsi="Calibri"/>
          <w:b w:val="0"/>
          <w:color w:val="3A4A28"/>
          <w:sz w:val="20"/>
        </w:rPr>
        <w:t>Uranium price volatility — sustained spot prices below $60/lb would compress project economics despite industry-leading $6.28/lb production costs; the company has no hedging to protect against price declines during the 2+ years before first production</w:t>
      </w:r>
    </w:p>
    <w:p>
      <w:pPr>
        <w:spacing w:before="40" w:after="40"/>
        <w:ind w:left="283"/>
      </w:pPr>
      <w:r>
        <w:rPr>
          <w:rFonts w:ascii="Calibri" w:hAnsi="Calibri"/>
          <w:b/>
          <w:color w:val="4A6B25"/>
          <w:sz w:val="20"/>
        </w:rPr>
        <w:t xml:space="preserve">3. </w:t>
      </w:r>
      <w:r>
        <w:rPr>
          <w:rFonts w:ascii="Calibri" w:hAnsi="Calibri"/>
          <w:b w:val="0"/>
          <w:color w:val="3A4A28"/>
          <w:sz w:val="20"/>
        </w:rPr>
        <w:t>Pre-production financing and dilution risk — D/E of 237.9% with ROE of -66.8% and net insider selling create a fragile financial profile; if construction costs exceed self-funding capacity from uranium sales, dilutive equity raises would be required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Uranium mining is a physical-world commodity business that AI structurally cannot disrupt — nuclear power plants require physical U3O8 fuel regardless of technological advances, and mining operations involve geological assessment, regulatory compliance, physical extraction, and processing that have no AI substitution pathway [1]. Moreover, AI is actively increasing demand for uranium: AI data center electricity consumption is projected to more than double by 2030, driving hyperscalers like Microsoft, Amazon, and Google to sign nuclear power agreements that structurally support long-term uranium demand above historical baselines [3]. Denison's future product becomes more valuable as AI scales. AI Opportunity (0/1): Denison does not generate quantifiable revenue from AI-related products or services. While AI-driven electricity demand is a structural tailwind for uranium pricing, this represents indirect demand creation rather than direct AI revenue contribution — the company is pre-production and generates no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Denison Mines Wheeler River Feasibility Study — Phoenix ISR Economics ($2.34B NPV, 105.9% IRR, $6.28/lb Costs), CNSC Construction Approval February 2026, Wood Canada Construction Management, DenisonMines.com</w:t>
      </w:r>
    </w:p>
    <w:p>
      <w:pPr>
        <w:spacing w:before="20" w:after="20"/>
        <w:ind w:left="170"/>
      </w:pPr>
      <w:r>
        <w:rPr>
          <w:rFonts w:ascii="Calibri" w:hAnsi="Calibri"/>
          <w:b/>
          <w:color w:val="4A6B25"/>
          <w:sz w:val="15"/>
        </w:rPr>
        <w:t xml:space="preserve">2. </w:t>
      </w:r>
      <w:r>
        <w:rPr>
          <w:rFonts w:ascii="Calibri" w:hAnsi="Calibri"/>
          <w:b w:val="0"/>
          <w:color w:val="3A4A28"/>
          <w:sz w:val="17"/>
        </w:rPr>
        <w:t>Denison Mines Q2 2026 Earnings Report — 750,000 lbs U3O8 Sold at $122.16/lb, $91.6M Gross Proceeds, $64.1M Gain (233%), Revenue $720K CAD, StockTitan/MarketBeat, August 2026</w:t>
      </w:r>
    </w:p>
    <w:p>
      <w:pPr>
        <w:spacing w:before="20" w:after="20"/>
        <w:ind w:left="170"/>
      </w:pPr>
      <w:r>
        <w:rPr>
          <w:rFonts w:ascii="Calibri" w:hAnsi="Calibri"/>
          <w:b/>
          <w:color w:val="4A6B25"/>
          <w:sz w:val="15"/>
        </w:rPr>
        <w:t xml:space="preserve">3. </w:t>
      </w:r>
      <w:r>
        <w:rPr>
          <w:rFonts w:ascii="Calibri" w:hAnsi="Calibri"/>
          <w:b w:val="0"/>
          <w:color w:val="3A4A28"/>
          <w:sz w:val="17"/>
        </w:rPr>
        <w:t>Nuclear Renaissance and AI Data Center Demand — CEO David Cates Leadership (11 Years), CNA Board Appointment, Cosa Resources Strategic Advisor, Hyperscaler Nuclear Agreements, CTV News/Industry Analysis, 2025-2026</w:t>
      </w:r>
    </w:p>
    <w:p>
      <w:pPr>
        <w:spacing w:before="20" w:after="20"/>
        <w:ind w:left="170"/>
      </w:pPr>
      <w:r>
        <w:rPr>
          <w:rFonts w:ascii="Calibri" w:hAnsi="Calibri"/>
          <w:b/>
          <w:color w:val="4A6B25"/>
          <w:sz w:val="15"/>
        </w:rPr>
        <w:t xml:space="preserve">4. </w:t>
      </w:r>
      <w:r>
        <w:rPr>
          <w:rFonts w:ascii="Calibri" w:hAnsi="Calibri"/>
          <w:b w:val="0"/>
          <w:color w:val="3A4A28"/>
          <w:sz w:val="17"/>
        </w:rPr>
        <w:t>Denison Mines Corporate Website — ESG Reports, Environmental Assessment, Indigenous Community Engagement, Board Additions — DenisonMines.com,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DNN Key Statistics: Stock Price $2.57, D/E 237.9%, ROE -66.8%, Forward P/E -65x, PEG 106.9, Market Cap ~$2.3B, Avg Vol 25M,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