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DOCN</w:t>
      </w:r>
      <w:r>
        <w:rPr>
          <w:rFonts w:ascii="Calibri" w:hAnsi="Calibri"/>
          <w:b/>
          <w:color w:val="1A2010"/>
          <w:sz w:val="40"/>
        </w:rPr>
        <w:t xml:space="preserve">  DigitalOcean Holdings, Inc.</w:t>
      </w:r>
    </w:p>
    <w:p>
      <w:pPr>
        <w:spacing w:after="120"/>
      </w:pPr>
      <w:r>
        <w:rPr>
          <w:rFonts w:ascii="Calibri" w:hAnsi="Calibri"/>
          <w:b/>
          <w:color w:val="6E8450"/>
          <w:sz w:val="18"/>
        </w:rPr>
        <w:t>GROWTH SLEEVE · 2026-09-03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DigitalOcean provides cloud infrastructure and platform tools for developers, startups, and SMBs. Founded in 2012, the company offers on-demand compute, storage, managed databases, Kubernetes, and an expanding AI-native cloud platform. Q2 2026 revenue reached $281M (+29% YoY) with ARR of $1.125B, driven by explosive AI customer growth (AI ARR +212% YoY to $234M). The company acquired Katanemo Labs for agentic AI observability and hired three new C-suite executives to power its next growth chapter.</w:t>
      </w:r>
    </w:p>
    <w:p>
      <w:r>
        <w:rPr>
          <w:rFonts w:ascii="Calibri" w:hAnsi="Calibri"/>
          <w:b/>
          <w:color w:val="6E8450"/>
          <w:sz w:val="18"/>
        </w:rPr>
        <w:t>1,200 Employees · https://www.digitalocean.com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DigitalOcean has executed a transformative pivot from a basic VPS/droplet provider to an AI-native cloud platform, unveiled at Deploy 2026 [1]. AI Customer ARR exploded 212% YoY to $234M in Q2 2026, now representing over 20% of total $1.125B ARR — a revenue stream that barely existed two years ago [2]. Million+ Dollar Customer ARR grew 214% YoY to $259M, demonstrating successful upmarket expansion from SMB roots. The company recorded a quarterly record $93M in incremental ARR in Q2. AI Deployment (2/2): The AI-Native Cloud platform includes GPU Droplets for inference workloads, serverless endpoints with an intelligent model router, and the Katanemo Labs acquisition adds agentic AI observability capabilities [3]. AI revenue is quantified at $234M ARR growing 212% — among the fastest AI adoption rates of any cloud provider. Market Share (1/2): DigitalOcean holds a differentiated position serving the developer/SMB cloud segment that hyperscalers neglect, but is not a category leader by revenue against AWS, Azure, and GCP. Product Pipeline (1/2): Management guided to 30.5% full-year 2026 growth with a 35%+ Q4 exit rate, and raised 2027 revenue growth guidance to exceed 50%, providing strong forward visibility [1]. R&amp;D Intensity (1/1): R&amp;D spending is above industry average for its revenue scale, with continuous investment in GPU infrastructure, AI services, and platform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DigitalOcean's mission — 'to simplify cloud and AI so builders can spend more time creating software that changes the world' — is specific, thoughtful, and genuinely differentiating [4]. It clearly identifies its audience (builders/developers) and connects to a larger purpose. The company has consistently lived this mission since 2012, democratizing cloud computing for developers and SMBs that hyperscalers underserve. However, the mission has not been validated through decades of execution or survived a major existential crisis. Community Impact (1/2): DigitalOcean operates extensive developer community programs including tutorials, Q&amp;A forums, Hacktoberfest open-source events, and the Hatch startup accelerator. The Impact page highlights environmental and social commitments, though specific charitable dollar amounts are not prominently disclosed. Employee Retention (1/2): Mixed signals — some Glassdoor reviewers praise the remote-first culture and collaboration, while others cite a poorly handled reduction-in-force and leadership instability [3]. Recent executive turnover (three new C-suite hires in 2026) suggests organizational restructuring during a critical growth phase. Insider Buying (0/2): Net insider selling dominates. CEO Padmanabhan sold shares at $129/share in August 2026, CFO Steinfort disposed of 25,000 shares ($3.8M) in May 2026, and multiple directors sold consistently — $504M in insider sales over the past 3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DigitalOcean demonstrates strong growth fundamentals with ROE of 70% (well above the 15% target, scoring 1.0 at 2x weight), profit margin of 24.97% (above 20% target, scoring 1.0), and robust revenue growth of 29% YoY (above 10% target, scoring 1.0) [1][2]. Estimated 5-year revenue CAGR of ~15% exceeds the 10% target (1.0 at 2x weight). D/E of 170% is elevated, scoring 0.565 against the 70% target — reflecting $1.51B in debt partially offset by $741M cash [6]. The major drag is Forward P/E of 91.32x, which exceeds the 60x floor and scores 0.0. Forward PEG of 1.54 partially offsets at 0.73 (2x weight). Weighted sum: 8.025/10 = 8. Liquidity floor easily cleared at ~$445M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DigitalOcean plays with an infinite-game orientation rooted in its founding purpose of democratizing cloud computing for developers and SMBs. The company has demonstrated flexibility by pivoting to an AI-native cloud platform, and its consistent focus on underserved developers reflects a genuine cause. However, recent leadership turnover, a poorly handled RIF, and three new C-suite hires in 2026 introduce finite-game concerns about organizational stability. The competitive language increasingly frames the opportunity in market-share and ARR growth terms rather than cause-driven terms.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DigitalOcean's purpose — simplifying cloud so developers can build software that changes the world — is genuine, distinctive, and has been partially lived out through 14 years of consistent product decisions prioritizing simplicity and affordability over enterprise complexity [4]. The AI-Native Cloud launch explicitly targets making AI accessible to smaller companies — a direct extension of the founding cause. However, the cause has not been tested through a major existential crisis or sustained leadership transition at the scale that separates a 2 from a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DigitalOcean maintains a remote-first culture with employees citing collaboration and work-life balance as strengths on Glassdoor [3]. However, the company conducted at least one RIF that former employees described as handled inhumanely, and recent executive turnover (three new C-suite hires in 2026 — CRO, CMO, CLO) suggests organizational instability. Divided Glassdoor reviews — some praise supportive culture while others flag leadership changes as destabilizing. The pattern is adequate but not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DigitalOcean's competitive posture acknowledges the strengths of hyperscale rivals (AWS, Azure, GCP) and uses their complexity as motivation to improve its own simplicity-first approach [1]. Management frames the opportunity not as 'beating AWS' but as serving builders that hyperscalers cannot serve well — a classic infinite-game competitive lens.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DigitalOcean has meaningfully evolved its business model from a VPS/Droplet provider into an AI-native cloud platform with GPU infrastructure, inference services, and the Katanemo acquisition [1][2]. AI ARR growing from near-zero to $234M in roughly two years represents genuine strategic adaptation. However, this was incremental evolution driven by market opportunity rather than a transformative bet requiring abandonment of the profitable core — the traditional cloud business continues alongside AI offerings.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DigitalOcean invested heavily in GPU infrastructure buildout and acquired Katanemo Labs for agentic AI observability, both requiring capital commitment before revenue materialized [2][3]. Raising 2027 growth guidance to 50%+ signals management confidence in long-term capability over near-term conservatism. However, the RIF and cost restructuring suggest periodic finite-game optimization around quarterly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DigitalOcean at $108/share is executing a rare cloud growth inflection — Q2 2026 revenue of $281M (+29% YoY) with management guiding to 30.5% full-year growth and a 35%+ Q4 exit rate, accelerating into 50%+ growth in 2027 [1]. The AI pivot is delivering: AI Customer ARR of $234M (+212% YoY) now represents over 20% of total $1.125B ARR, transforming DigitalOcean from a commoditized VPS provider into an AI-native cloud platform [2]. Profitability is strong with 24.97% profit margin, 70% ROE, and 65% EPS growth YoY. The PEG ratio of 1.54 suggests the stock is reasonably priced relative to its growth rate. Million+ Dollar Customer ARR of $259M (+214% YoY) confirms successful upmarket expansion, and the Katanemo Labs acquisition adds differentiated agentic AI observability [3].</w:t>
      </w:r>
    </w:p>
    <w:p>
      <w:pPr>
        <w:spacing w:after="120"/>
      </w:pPr>
      <w:r>
        <w:rPr>
          <w:rFonts w:ascii="Calibri" w:hAnsi="Calibri"/>
          <w:b w:val="0"/>
          <w:color w:val="3A4A28"/>
          <w:sz w:val="20"/>
        </w:rPr>
        <w:t>The bear case centers on extreme valuation and competitive exposure. Forward P/E of 91.32x prices in sustained 30%+ growth indefinitely — any deceleration could trigger severe multiple compression, particularly since the trailing P/E jumped from 33x to 70x within a single quarter [6]. D/E of 170% ($1.51B debt vs. $741M cash) limits financial flexibility if growth investments require additional capital. The competitive moat against hyperscalers remains narrow — AWS, Azure, and GCP can replicate DigitalOcean's AI infrastructure at lower marginal cost, and AI-powered no-code platforms could eliminate SMB demand for standalone cloud infrastructure entirely. Insider selling is pervasive: CEO, CFO, and directors have been consistent net sellers throughout 2026 with $504M in insider sales over 3 months [5]. Three new C-suite hires (CRO, CMO, CLO) and a prior RIF raise execution risk during a critical growth transition [3]. The Inspire Impact Score of 42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Customer ARR trajectory from $234M toward $500M+ as GPU Droplet adoption and inference workloads scale, potentially making DigitalOcean the default AI cloud for SMB developers and startups [2]</w:t>
      </w:r>
    </w:p>
    <w:p>
      <w:pPr>
        <w:spacing w:before="40" w:after="40"/>
        <w:ind w:left="283"/>
      </w:pPr>
      <w:r>
        <w:rPr>
          <w:rFonts w:ascii="Calibri" w:hAnsi="Calibri"/>
          <w:b/>
          <w:color w:val="4A6B25"/>
          <w:sz w:val="20"/>
        </w:rPr>
        <w:t xml:space="preserve">2. </w:t>
      </w:r>
      <w:r>
        <w:rPr>
          <w:rFonts w:ascii="Calibri" w:hAnsi="Calibri"/>
          <w:b w:val="0"/>
          <w:color w:val="3A4A28"/>
          <w:sz w:val="20"/>
        </w:rPr>
        <w:t>Management's raised 2027 guidance of 50%+ revenue growth — if delivered, could trigger a re-rating as the market recognizes DigitalOcean's transition from a mid-teens grower to a 30-50% compounder [1]</w:t>
      </w:r>
    </w:p>
    <w:p>
      <w:pPr>
        <w:spacing w:before="40" w:after="40"/>
        <w:ind w:left="283"/>
      </w:pPr>
      <w:r>
        <w:rPr>
          <w:rFonts w:ascii="Calibri" w:hAnsi="Calibri"/>
          <w:b/>
          <w:color w:val="4A6B25"/>
          <w:sz w:val="20"/>
        </w:rPr>
        <w:t xml:space="preserve">3. </w:t>
      </w:r>
      <w:r>
        <w:rPr>
          <w:rFonts w:ascii="Calibri" w:hAnsi="Calibri"/>
          <w:b w:val="0"/>
          <w:color w:val="3A4A28"/>
          <w:sz w:val="20"/>
        </w:rPr>
        <w:t>Katanemo Labs acquisition bringing agentic AI observability capabilities that differentiate DigitalOcean's AI platform from commodity GPU cloud providers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91x leaves zero margin for error — any guidance miss or growth deceleration from 29% toward 20% could trigger 30-40% multiple compression given the valuation assumes sustained hypergrowth [6]</w:t>
      </w:r>
    </w:p>
    <w:p>
      <w:pPr>
        <w:spacing w:before="40" w:after="40"/>
        <w:ind w:left="283"/>
      </w:pPr>
      <w:r>
        <w:rPr>
          <w:rFonts w:ascii="Calibri" w:hAnsi="Calibri"/>
          <w:b/>
          <w:color w:val="4A6B25"/>
          <w:sz w:val="20"/>
        </w:rPr>
        <w:t xml:space="preserve">2. </w:t>
      </w:r>
      <w:r>
        <w:rPr>
          <w:rFonts w:ascii="Calibri" w:hAnsi="Calibri"/>
          <w:b w:val="0"/>
          <w:color w:val="3A4A28"/>
          <w:sz w:val="20"/>
        </w:rPr>
        <w:t>Hyperscaler competition from AWS, Azure, and GCP who can offer comparable AI infrastructure at lower marginal cost, potentially squeezing DigitalOcean's margins as it invests heavily in GPU infrastructure [1]</w:t>
      </w:r>
    </w:p>
    <w:p>
      <w:pPr>
        <w:spacing w:before="40" w:after="40"/>
        <w:ind w:left="283"/>
      </w:pPr>
      <w:r>
        <w:rPr>
          <w:rFonts w:ascii="Calibri" w:hAnsi="Calibri"/>
          <w:b/>
          <w:color w:val="4A6B25"/>
          <w:sz w:val="20"/>
        </w:rPr>
        <w:t xml:space="preserve">3. </w:t>
      </w:r>
      <w:r>
        <w:rPr>
          <w:rFonts w:ascii="Calibri" w:hAnsi="Calibri"/>
          <w:b w:val="0"/>
          <w:color w:val="3A4A28"/>
          <w:sz w:val="20"/>
        </w:rPr>
        <w:t>Pervasive insider selling with $504M in sales over 3 months including CEO and CFO dispositions, signaling potential lack of conviction at the leadership level despite bullish public guidance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DigitalOcean's core cloud infrastructure business benefits structurally from AI adoption — every AI model, inference request, and agentic workflow requires cloud compute, storage, and networking [1]. The AI-Native Cloud platform positions DigitalOcean as a direct beneficiary of AI workload proliferation. However, AI-powered coding tools (Cursor, Copilot, Replit) could reduce the pool of developers needing standalone cloud hosting, and hyperscaler AI services could pull SMB developers upmarket toward AWS/Azure/GCP. DigitalOcean's differentiation rests on simplicity and SMB focus, which larger competitors could replicate with dedicated SMB tiers. The SMB segment is particularly exposed to AI-driven platform consolidation where no-code/low-code tools eliminate the need for dedicated cloud infrastructure [2]. AI Opportunity (1/1): DigitalOcean generates substantial quantified AI revenue — $234M in AI Customer ARR growing 212% YoY as of Q2 2026 [2]. GPU Droplets, inference services, and the Katanemo acquisition provide direct AI-derived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DigitalOcean Q2 2026 Earnings Release — Revenue $281M (+29% YoY), ARR $1.125B, AI ARR $234M (+212%), Record $93M Incremental ARR, Seeking Alpha/investors.digitalocean.com, August 2026</w:t>
      </w:r>
    </w:p>
    <w:p>
      <w:pPr>
        <w:spacing w:before="20" w:after="20"/>
        <w:ind w:left="170"/>
      </w:pPr>
      <w:r>
        <w:rPr>
          <w:rFonts w:ascii="Calibri" w:hAnsi="Calibri"/>
          <w:b/>
          <w:color w:val="4A6B25"/>
          <w:sz w:val="15"/>
        </w:rPr>
        <w:t xml:space="preserve">2. </w:t>
      </w:r>
      <w:r>
        <w:rPr>
          <w:rFonts w:ascii="Calibri" w:hAnsi="Calibri"/>
          <w:b w:val="0"/>
          <w:color w:val="3A4A28"/>
          <w:sz w:val="17"/>
        </w:rPr>
        <w:t>DigitalOcean Q1 2026 Earnings Release — Revenue $258M (+22% YoY), AI ARR $170M (+221%), Full-Year 2026 Guidance Raised to 30.5% Growth, May 2026</w:t>
      </w:r>
    </w:p>
    <w:p>
      <w:pPr>
        <w:spacing w:before="20" w:after="20"/>
        <w:ind w:left="170"/>
      </w:pPr>
      <w:r>
        <w:rPr>
          <w:rFonts w:ascii="Calibri" w:hAnsi="Calibri"/>
          <w:b/>
          <w:color w:val="4A6B25"/>
          <w:sz w:val="15"/>
        </w:rPr>
        <w:t xml:space="preserve">3. </w:t>
      </w:r>
      <w:r>
        <w:rPr>
          <w:rFonts w:ascii="Calibri" w:hAnsi="Calibri"/>
          <w:b w:val="0"/>
          <w:color w:val="3A4A28"/>
          <w:sz w:val="17"/>
        </w:rPr>
        <w:t>DigitalOcean Executive Additions and Katanemo Labs Acquisition — Three New C-Suite Hires (CRO, CMO, CLO), Glassdoor Reviews, investors.digitalocean.com, 2026</w:t>
      </w:r>
    </w:p>
    <w:p>
      <w:pPr>
        <w:spacing w:before="20" w:after="20"/>
        <w:ind w:left="170"/>
      </w:pPr>
      <w:r>
        <w:rPr>
          <w:rFonts w:ascii="Calibri" w:hAnsi="Calibri"/>
          <w:b/>
          <w:color w:val="4A6B25"/>
          <w:sz w:val="15"/>
        </w:rPr>
        <w:t xml:space="preserve">4. </w:t>
      </w:r>
      <w:r>
        <w:rPr>
          <w:rFonts w:ascii="Calibri" w:hAnsi="Calibri"/>
          <w:b w:val="0"/>
          <w:color w:val="3A4A28"/>
          <w:sz w:val="17"/>
        </w:rPr>
        <w:t>DigitalOcean About Page — Mission: 'Simplify cloud and AI so builders can spend more time creating software that changes the world', digitalocean.com,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TipRanks, SEC Form 4 Filings — DOCN Insider Trading: CEO, CFO, Directors Net Sellers, $504M in 3-Month Insider Sales, August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DOCN Key Statistics: Forward P/E 91.32x, P/E 47.55x, ROE 70%, D/E 170%, Profit Margin 24.97%, PEG 1.54, Stock Price $108.58,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