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DOC</w:t>
      </w:r>
      <w:r>
        <w:rPr>
          <w:rFonts w:ascii="Calibri" w:hAnsi="Calibri"/>
          <w:b/>
          <w:color w:val="1A2010"/>
          <w:sz w:val="40"/>
        </w:rPr>
        <w:t xml:space="preserve">  Healthpeak Properties, Inc.</w:t>
      </w:r>
    </w:p>
    <w:p>
      <w:pPr>
        <w:spacing w:after="120"/>
      </w:pPr>
      <w:r>
        <w:rPr>
          <w:rFonts w:ascii="Calibri" w:hAnsi="Calibri"/>
          <w:b/>
          <w:color w:val="6E8450"/>
          <w:sz w:val="18"/>
        </w:rPr>
        <w:t>DIVIDEND SLEEVE · 2026-10-09 · Inspire: 53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Healthcare Facilities · NYSE · United States</w:t>
      </w:r>
    </w:p>
    <w:p>
      <w:pPr>
        <w:spacing w:after="80"/>
      </w:pPr>
      <w:r>
        <w:rPr>
          <w:rFonts w:ascii="Calibri" w:hAnsi="Calibri"/>
          <w:b w:val="0"/>
          <w:color w:val="3A4A28"/>
          <w:sz w:val="20"/>
        </w:rPr>
        <w:t>Healthpeak Properties is an S&amp;P 500 real estate investment trust focused on healthcare discovery and delivery, owning and operating 700+ properties across outpatient medical (~70%), life science labs (~25%), and senior housing (~5%) segments. The company merged with Physicians Realty Trust in March 2024 and completed the Janus Living senior housing REIT IPO in March 2026, retaining 81.6% ownership. Q1 2026 revenue of $753M grew 7.1% YoY with FFO guidance of $1.71-$1.75/share [1]. Stock has declined to $18.52, yielding 6.59%. Market cap approximately $13.1B.</w:t>
      </w:r>
    </w:p>
    <w:p>
      <w:r>
        <w:rPr>
          <w:rFonts w:ascii="Calibri" w:hAnsi="Calibri"/>
          <w:b/>
          <w:color w:val="6E8450"/>
          <w:sz w:val="18"/>
        </w:rPr>
        <w:t>411 Employees · https://www.healthpeak.com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Physicians Realty Trust merger (March 2024) created a diversified 700+ property healthcare REIT, the Janus Living IPO (March 2026) generated ~$880M in proceeds while retaining 81.6% ownership, and the Brookfield joint venture delivered $1B in proceeds — all creative value-unlocking transactions but fundamentally financial engineering rather than product innovation [1]. AI Deployment (1/2): Healthpeak hired Omkar Joshi, a Palantir veteran of nearly a decade, as Head of Enterprise Innovation in January 2026 to lead technology, automation, and data initiatives and roll out an 'agentic operating system' across back-office operations and tenant experience [2]. CEO Brinker states AI 'is only going to increase the odds of success' for healthcare R&amp;D tenants. Early-stage but signals institutional commitment ahead of REIT peers. Market Share (1/2): One of the largest healthcare REITs with 700+ properties and life science campuses in San Francisco, Boston, and San Diego innovation markets, plus S&amp;P 500 membership, but competes in a fragmented market against Welltower, Ventas, and other large REITs [1]. Product Pipeline (1/2): Janus Living posted 19% same-store NOI growth and is on pace to double in size, lab occupancy recovered to 97% leased at Torrey Pines (from ~65%), and outpatient medical executed 1.2M square feet with +5% cash re-leasing spreads [1]. R&amp;D Intensity (0/1): REIT sector is not R&amp;D intensive; capital allocation goes toward acquisitions and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Healthpeak's mission to provide 'high-quality real estate for healthcare discovery and delivery' is clear and connects the company's work to healthcare advancement, but is primarily a real estate investment thesis rather than a deeper purpose — the company is a landlord specializing in healthcare properties, not a healthcare provider or innovator [2]. Community Impact (1/2): The healthcare portfolio inherently serves community health needs through outpatient medical buildings, lab facilities, and senior housing. Healthpeak earned CDP Leadership Band recognition for 11 consecutive years and GRESB Green Star for 13 consecutive years, issued green bonds totaling $450M+, and links ESG performance to executive compensation [3]. These are industry-leading sustainability achievements for a REIT. Employee Retention (1/2): The lean 411-person team manages a complex 700+ property portfolio efficiently. CEO Scott Brinker has provided stable leadership since 2020, succeeding Tom Herzog. The company hosts an annual Women's Leadership Summit [2]. Small team size limits the evidence base but operational stability is a positive signal. Insider Buying (0/2): Insiders showed net selling in 2026 with no meaningful open-market purchases identified. Modest but negative signal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Dividend stock (yield 6.59% &gt; 2%, dividends paid continuously since 1985 = 40+ years). REIT accounting structurally distorts traditional metrics — forward P/E of 132.3 and GAAP payout ratio of 349% reflect depreciation charges that make GAAP earnings nearly meaningless for REITs; FFO of $1.71-$1.75/share guidance well exceeds the $1.22 annual dividend [1]. D/E of 108.7% scores 0.83 (1x) — typical for healthcare REITs with long-duration assets. ROE of 3.04% scores 0.20 (1x) — very low even by REIT standards due to depreciation-adjusted GAAP earnings base. Revenue growth YoY of 11.1% scores 1.0 (1x), boosted by the post-merger combined entity [1]. Revenue growth 5yr CAGR of ~10% scores 1.0 (1x), driven by the Physicians Realty merger. Forward P/E of 132.3 scores 0.0 (1x) — artificially penalized by REIT accounting. Profit margin of 8.25% scores 0.41 (1x). Payout ratio of 349% scores 0.0 (1x) — again, GAAP distortion. Consecutive years paid of 40 earns maximum 1.0 at 2x weight. Consecutive years dividend growth = 1 (first increase in 2025 from $1.20 to $1.22) scores 0.10 (1x). 5yr dividend growth CAGR of ~0% scores 0.0 (2x). Daily dollar volume of $102M provides adequate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Healthpeak operates with the steady, long-term asset orientation typical of REITs — 40+ years of continuous dividends, multi-decade property holding periods, and strategic patience to execute the Physicians Realty merger, Janus Living IPO, and Brookfield JV. However, the company's purpose is fundamentally financial (maximizing FFO, NAV, and shareholder returns) rather than driven by a transcendent cause that shapes strategic decisions beyond financial optimization. Sinek would observe that REITs by nature are financial vehicles, and Healthpeak has not articulated a purpose that transcends that structure.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Healthpeak's purpose centers on creating shareholder value through healthcare real estate investment. While providing physical infrastructure for healthcare delivery serves an important societal function, the company's articulation focuses on portfolio optimization, FFO growth, and NAV accretion rather than a vision of how healthcare delivery should evolve [2]. The healthcare focus is a market strategy, not a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lean 411-person team manages a complex 700+ property portfolio efficiently, with employees praising flexibility and management trust. CEO Scott Brinker has provided stable leadership since 2020, and the annual Women's Leadership Summit demonstrates investment in workplace culture [2]. However, the small team size and post-merger integration dynamics limit the evidence base for exceptional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Healthpeak competes with Welltower and Ventas using standard REIT competitive positioning focused on portfolio quality, market selection, and financial metrics [1]. No evidence of the growth-oriented competitive mindset where management references learning from rivals' strengths or uses competition as a catalyst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Physicians Realty merger (2024), Janus Living IPO ($880M, March 2026), Brookfield joint venture ($1B proceeds), and ongoing capital recycling from medical office toward life science demonstrate willingness to meaningfully reshape the portfolio structure [1]. The transition away from senior housing ownership toward a capital-light model (retaining 81.6% of Janus Living) shows strategic evolution. However, these are incremental portfolio optimizations within the same healthcare REIT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Janus Living IPO — structuring a complex spinoff generating $880M while retaining 81.6% ownership — and the Brookfield JV delivering $1B demonstrate strategic confidence [1]. Hiring a Palantir veteran to build an agentic AI operating platform shows forward thinking for a REIT sector that has been slow to adopt technology [2]. However, these are competent financial engineering decisions rather than costly long-term bets that sacrifice near-term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Healthpeak at $18.52 offers a 6.59% dividend yield — one of the highest among S&amp;P 500 REITs — supported by FFO guidance of $1.71-$1.75/share that comfortably covers the $1.22 annual dividend with ~71% FFO payout [1]. The portfolio is positioned at the intersection of two structural tailwinds: aging U.S. demographics driving healthcare facility demand (10,000 Baby Boomers turning 65 daily through 2030) and AI-driven drug discovery accelerating life science lab demand, evidenced by Torrey Pines lab occupancy surging from 65% to 97% leased [1]. Janus Living posted 19% same-store NOI growth and is on pace to double in size, providing a high-growth senior housing platform within the portfolio. Outpatient medical remains stable with 1.2M square feet leased and +5% cash re-leasing spreads. The Brookfield JV ($1B proceeds) and Janus Living IPO ($880M) demonstrate management's ability to unlock value through creative capital recycling. The Inspire ALIGNED score of 53 with zero negative attributions makes DOC suitable for faith-based investors [1].</w:t>
      </w:r>
    </w:p>
    <w:p>
      <w:pPr>
        <w:spacing w:after="120"/>
      </w:pPr>
      <w:r>
        <w:rPr>
          <w:rFonts w:ascii="Calibri" w:hAnsi="Calibri"/>
          <w:b w:val="0"/>
          <w:color w:val="3A4A28"/>
          <w:sz w:val="20"/>
        </w:rPr>
        <w:t>The bear case centers on structurally weak GAAP financial metrics, interest rate sensitivity, and zero dividend growth history. ROE of 3.04% and profit margin of 8.25% are low even by REIT standards, and the forward P/E of 132.3x — while distorted by REIT depreciation accounting — deters investors using traditional fundamental screens [1]. The dividend has shown essentially zero growth over 5 years (cut from $1.48 to $1.20 in 2021, barely recovering to $1.22 in 2025), offering yield without capital appreciation — a potential value trap for income investors seeking total return. The stock has declined 19% from its 52-week high of $22.95, suggesting the market is pricing in headwinds. D/E of 108.7% creates leverage risk in a higher-rate environment with $10B+ in total debt, and sustained higher rates increase borrowing costs while reducing the relative attractiveness of the 6.59% yield versus risk-free alternatives. Broader life science lab vacancy rates remain elevated outside Torrey Pines as biotech funding has tightened and new construction deliveries create supply-demand imbalance across innovation markets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Lab portfolio recovery accelerating — Torrey Pines submarket surging from 65% to 97% leased, with total lab occupancy gaining 140bps since year-end to 78.5%, signaling inflection in the life science real estate cycle that could drive NOI growth and NAV re-rating [1]</w:t>
      </w:r>
    </w:p>
    <w:p>
      <w:pPr>
        <w:spacing w:before="40" w:after="40"/>
        <w:ind w:left="283"/>
      </w:pPr>
      <w:r>
        <w:rPr>
          <w:rFonts w:ascii="Calibri" w:hAnsi="Calibri"/>
          <w:b/>
          <w:color w:val="4A6B25"/>
          <w:sz w:val="20"/>
        </w:rPr>
        <w:t xml:space="preserve">2. </w:t>
      </w:r>
      <w:r>
        <w:rPr>
          <w:rFonts w:ascii="Calibri" w:hAnsi="Calibri"/>
          <w:b w:val="0"/>
          <w:color w:val="3A4A28"/>
          <w:sz w:val="20"/>
        </w:rPr>
        <w:t>Janus Living subsidiary delivering 19% same-store NOI growth and on pace to double in size, providing a high-growth senior housing platform benefiting from irreversible aging demographics [1]</w:t>
      </w:r>
    </w:p>
    <w:p>
      <w:pPr>
        <w:spacing w:before="40" w:after="40"/>
        <w:ind w:left="283"/>
      </w:pPr>
      <w:r>
        <w:rPr>
          <w:rFonts w:ascii="Calibri" w:hAnsi="Calibri"/>
          <w:b/>
          <w:color w:val="4A6B25"/>
          <w:sz w:val="20"/>
        </w:rPr>
        <w:t xml:space="preserve">3. </w:t>
      </w:r>
      <w:r>
        <w:rPr>
          <w:rFonts w:ascii="Calibri" w:hAnsi="Calibri"/>
          <w:b w:val="0"/>
          <w:color w:val="3A4A28"/>
          <w:sz w:val="20"/>
        </w:rPr>
        <w:t>Agentic AI operating platform deployment under Palantir veteran Omkar Joshi could unlock operational efficiencies across 700+ properties, improving NOI margins, tenant experience, and competitive positioning versus peers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Zero dividend growth over 5 years (cut from $1.48 to $1.20 in 2021, barely recovering to $1.22) creates value trap dynamics — 6.59% current yield but no income growth or capital appreciation for investors requiring total return [1]</w:t>
      </w:r>
    </w:p>
    <w:p>
      <w:pPr>
        <w:spacing w:before="40" w:after="40"/>
        <w:ind w:left="283"/>
      </w:pPr>
      <w:r>
        <w:rPr>
          <w:rFonts w:ascii="Calibri" w:hAnsi="Calibri"/>
          <w:b/>
          <w:color w:val="4A6B25"/>
          <w:sz w:val="20"/>
        </w:rPr>
        <w:t xml:space="preserve">2. </w:t>
      </w:r>
      <w:r>
        <w:rPr>
          <w:rFonts w:ascii="Calibri" w:hAnsi="Calibri"/>
          <w:b w:val="0"/>
          <w:color w:val="3A4A28"/>
          <w:sz w:val="20"/>
        </w:rPr>
        <w:t>D/E of 108.7% with $10B+ total debt creates interest rate sensitivity — sustained higher rates increase borrowing costs and reduce the relative attractiveness of the 6.59% yield versus risk-free alternatives, pressuring the stock price [1]</w:t>
      </w:r>
    </w:p>
    <w:p>
      <w:pPr>
        <w:spacing w:before="40" w:after="40"/>
        <w:ind w:left="283"/>
      </w:pPr>
      <w:r>
        <w:rPr>
          <w:rFonts w:ascii="Calibri" w:hAnsi="Calibri"/>
          <w:b/>
          <w:color w:val="4A6B25"/>
          <w:sz w:val="20"/>
        </w:rPr>
        <w:t xml:space="preserve">3. </w:t>
      </w:r>
      <w:r>
        <w:rPr>
          <w:rFonts w:ascii="Calibri" w:hAnsi="Calibri"/>
          <w:b w:val="0"/>
          <w:color w:val="3A4A28"/>
          <w:sz w:val="20"/>
        </w:rPr>
        <w:t>Broader life science lab vacancy rates remain elevated outside Torrey Pines as biotech funding constraints and new construction pipeline deliveries create supply-demand imbalance across key innovation markets in San Francisco, Boston, and San Diego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Healthcare real estate is fundamentally physical infrastructure — 700+ outpatient medical buildings, laboratory facilities, and senior housing communities cannot be disrupted by AI [1]. Life science tenants in San Francisco, Boston, and San Diego conduct research that increasingly leverages AI-driven drug discovery, which accelerates demand for lab space rather than reducing it — Torrey Pines lab occupancy surging from 65% to 97% demonstrates this demand dynamic [1]. Telemedicine has proven complementary to rather than a substitute for physical medical offices as most healthcare delivery still requires in-person examination, testing, and procedures. Senior housing serves aging demographics (10,000 Baby Boomers turning 65 daily through 2030) with irreducible physical care needs. CEO Brinker notes AI 'is only going to increase the odds' for healthcare R&amp;D, directly benefiting lab tenants [2]. AI Opportunity (0/1): Healthpeak hired Omkar Joshi from Palantir to build an agentic AI operating platform for property management and tenant experience, but no quantifiable AI revenue has been reported — AI remains an internal efficiency initiative rather than a revenue stream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Healthpeak Properties Q1-Q2 2026 Results — Q1 Revenue $753M (+7.1% YoY), Q2 Revenue $749.8M, FFO Guidance Raised to $1.73-$1.77/share, Lab Occupancy 78.5%, Janus Living 19% NOI Growth, Brookfield JV $1B — StockAnalysis, OpenCapital, 2026</w:t>
      </w:r>
    </w:p>
    <w:p>
      <w:pPr>
        <w:spacing w:before="20" w:after="20"/>
        <w:ind w:left="170"/>
      </w:pPr>
      <w:r>
        <w:rPr>
          <w:rFonts w:ascii="Calibri" w:hAnsi="Calibri"/>
          <w:b/>
          <w:color w:val="4A6B25"/>
          <w:sz w:val="15"/>
        </w:rPr>
        <w:t xml:space="preserve">2. </w:t>
      </w:r>
      <w:r>
        <w:rPr>
          <w:rFonts w:ascii="Calibri" w:hAnsi="Calibri"/>
          <w:b w:val="0"/>
          <w:color w:val="3A4A28"/>
          <w:sz w:val="17"/>
        </w:rPr>
        <w:t>Healthpeak Properties AI and Leadership — CEO Scott Brinker, Omkar Joshi (Palantir) as Head of Enterprise Innovation, Agentic Operating Platform, 'AI Increases the Odds' — BusinessWire, Nasdaq, CEOInterviews, January 2026</w:t>
      </w:r>
    </w:p>
    <w:p>
      <w:pPr>
        <w:spacing w:before="20" w:after="20"/>
        <w:ind w:left="170"/>
      </w:pPr>
      <w:r>
        <w:rPr>
          <w:rFonts w:ascii="Calibri" w:hAnsi="Calibri"/>
          <w:b/>
          <w:color w:val="4A6B25"/>
          <w:sz w:val="15"/>
        </w:rPr>
        <w:t xml:space="preserve">3. </w:t>
      </w:r>
      <w:r>
        <w:rPr>
          <w:rFonts w:ascii="Calibri" w:hAnsi="Calibri"/>
          <w:b w:val="0"/>
          <w:color w:val="3A4A28"/>
          <w:sz w:val="17"/>
        </w:rPr>
        <w:t>Healthpeak Properties ESG and Sustainability — CDP Leadership Band 11 Years, GRESB Green Star 13 Years, Green Bonds $450M+, ESG Linked to Executive Compensation, Sustainalytics Low Risk — Nareit, healthpeak.com, SEC Filings, 2022-2026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DOC Key Statistics: Forward P/E 132.29x, ROE 3.04%, D/E 108.7%, Dividend Yield 6.59%, Stock Price $18.52,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