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DPC</w:t>
      </w:r>
      <w:r>
        <w:rPr>
          <w:rFonts w:ascii="Calibri" w:hAnsi="Calibri"/>
          <w:b/>
          <w:color w:val="1A2010"/>
          <w:sz w:val="40"/>
        </w:rPr>
        <w:t xml:space="preserve">  DPC Holdings PLC</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NYQ · United Kingdom</w:t>
      </w:r>
    </w:p>
    <w:p>
      <w:pPr>
        <w:spacing w:after="80"/>
      </w:pPr>
      <w:r>
        <w:rPr>
          <w:rFonts w:ascii="Calibri" w:hAnsi="Calibri"/>
          <w:b w:val="0"/>
          <w:color w:val="3A4A28"/>
          <w:sz w:val="20"/>
        </w:rPr>
        <w:t>DPC Holdings PLC (formerly Doncasters Group / Alloy Topco Limited) is a UK-based manufacturer of precision-cast engine components and nickel- and cobalt-based superalloys for the hot sections of aerospace engines and industrial gas turbines (IGT). Founded in 1778 and headquartered in Derby, England, the company supplies GE Aerospace, Honeywell, Pratt &amp; Whitney, and Rolls-Royce with turbine center frames, bearing housings, combustion components, turbine airfoils, and turbocharger wheels. DPC IPO'd on the NYSE in June 2026 at $28-$32/share, raising approximately $700M, with a concurrent $75M private placement from the Qatar Investment Authority [1][2]. TTM revenue is approximately $953M with 33.7% YoY growth.</w:t>
      </w:r>
    </w:p>
    <w:p>
      <w:r>
        <w:rPr>
          <w:rFonts w:ascii="Calibri" w:hAnsi="Calibri"/>
          <w:b/>
          <w:color w:val="6E8450"/>
          <w:sz w:val="18"/>
        </w:rPr>
        <w:t>3,070 Employees · https://www.doncasters.com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DPC has refined its specialty manufacturing capabilities over 248 years, evolving from general foundry work to precision-cast superalloy components for jet engines and industrial gas turbines. The June 2026 NYSE IPO represented a significant corporate transformation from private to public company, though the core business model of supplying cast engine components to OEMs has remained fundamentally unchanged. AI Deployment (0/2): No evidence of AI-powered products, AI-driven manufacturing improvements, or any AI deployment strategy. The company operates traditional precision casting and superalloy manufacturing processes. Market Share (1/2): DPC occupies a meaningful niche as a qualified supplier to all major aerospace engine OEMs — GE Aerospace, Honeywell, Pratt &amp; Whitney, and Rolls-Royce — indicating deep customer relationships and qualification barriers in a sector where supplier switching costs are exceptionally high [1][2]. Product Pipeline (0/2): No specific next-generation products or technologies announced. Revenue growth is driven by the aerospace cycle recovery and existing customer demand rather than new product introductions. R&amp;D Intensity (0/1): As a precision castings manufacturer, DPC's innovation occurs through process engineering and metallurgy refinement rather than formal R&amp;D programs. No reported R&amp;D spend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DPC's purpose centers on manufacturing high-quality precision components for the aerospace and energy industries. This is a description of what the company makes, not an articulated deeper purpose. As a recently IPO'd company transitioning from private equity ownership, DPC has not publicly articulated a distinctive mission or vision beyond operational excellence in its manufacturing niche. Community Impact (0/2): No evidence of charitable programs, community investment, or social impact initiatives. The company's public disclosures focus on operational and financial metrics following its June 2026 IPO. Employee Retention (0/2): No data available on employee retention, voluntary turnover, or cultural practices. The company has 3,070 employees across facilities in the UK, Europe, and the U.S. Insider Buying (0/2): As a June 2026 IPO, no post-IPO insider buying data is available. The Qatar Investment Authority's $75M private placement represents institutional support but not insider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(ROE, 5yr CAGR, and PEG unavailable due to recent IPO — excluded from calculation). D/E of 76.3% is near the 70% target (score 0.97), indicating a relatively clean balance sheet with $589M debt against $846M in cash post-IPO [1]. Revenue growth of 33.7% YoY significantly exceeds the 10% target (score 1.0), driven by the aerospace cycle recovery and strong demand from engine OEM customers. Forward P/E of 32.7 is above the 20 target but well below the 60 floor (score 0.68), reflecting growth-stage valuation for a newly public company. Profit margin of -26.1% is deeply negative (score 0.0), likely reflecting IPO-related costs, restructuring charges, and amortization from historical private equity ownership (gross margin of 23.7% indicates core manufacturing profitability). Infrastructure score is based on 4 available weight units; limited public financial history constrains the assessment. Daily dollar volume of $36M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DPC operates with a finite game mindset. The company's trajectory — founded in 1778, passing through multiple private equity owners, and IPO'd in June 2026 — reflects a financial engineering pathway rather than a purpose-driven organization. Private equity ownership optimizes for exit returns, not enduring causes. The IPO itself represents a liquidity event for existing owners rather than a mission-driven strategic decision. While the company's 248-year survival demonstrates institutional resilience, there is no evidence of a Just Cause, courageous leadership, or organizational culture that transcends the current ownership structure.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DPC exists to manufacture precision components profitably for aerospace and IGT customers. There is no articulated vision of a future state that transcends the manufacturing operation. The company's path through private equity ownership to a NYSE IPO is driven by financial returns — the Qatar Investment Authority's $75M investment and the $700M capital raise are financial transactions, not expressions of an enduring purpose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empowerment, or trust dynamics. The transition from private equity ownership through IPO typically involves significant organizational change, cost restructuring, and management incentive realignment that can create uncertainty for the 3,070-person workforce across UK, European, and U.S. facilities. No evidence distinguishes DPC from industrial manufacturing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DPC views its competitive landscape. The company operates in a concentrated aerospace supply chain with a small number of qualified competitors. No public commentary from management about learning from rivals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248 years, DPC has evolved from general foundry operations to specialized precision casting of superalloys for aerospace engines — a meaningful long-term adaptation that required developing entirely new metallurgical capabilities and earning OEM qualifications with GE Aerospace, Honeywell, Pratt &amp; Whitney, and Rolls-Royce [1]. This multi-century evolution demonstrates institutional flexibility, though the pace of change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performance for future capability. As a recently IPO'd company emerging from private equity ownership, the decision-making framework has been optimized for financial returns rather than courageous long-term investment. The deeply negative operating margin (-44.7%) suggests the company has been burdened by financial restructuring costs rather than investing in transformative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DPC at $31.77 is a pure-play aerospace engine components manufacturer benefiting from the strongest commercial aviation cycle in a decade, with 33.7% YoY revenue growth to approximately $953M TTM driven by surging demand from all major engine OEMs — GE Aerospace, Honeywell, Pratt &amp; Whitney, and Rolls-Royce [1][2]. The June 2026 IPO raised $700M plus a $75M Qatar Investment Authority placement, leaving the balance sheet with $846M cash against $589M debt (D/E 76%) — a clean starting position for a newly public company. The company's 248-year history and deep aerospace qualification moats create high customer switching costs, and Forward P/E of 32.7x reflects market expectations of continued growth as the aerospace aftermarket and new engine programs drive demand for precision-cast superalloy components.</w:t>
      </w:r>
    </w:p>
    <w:p>
      <w:pPr>
        <w:spacing w:after="120"/>
      </w:pPr>
      <w:r>
        <w:rPr>
          <w:rFonts w:ascii="Calibri" w:hAnsi="Calibri"/>
          <w:b w:val="0"/>
          <w:color w:val="3A4A28"/>
          <w:sz w:val="20"/>
        </w:rPr>
        <w:t>The bear case centers on profitability, cyclicality, and limited visibility. The -26.1% profit margin and -44.7% operating margin reflect significant non-cash charges and restructuring costs from the IPO transition, but even the 23.7% gross margin suggests the core manufacturing business operates on thin margins in a capital-intensive industry [1]. As a newly public company with less than one year of trading history, there is no track record of meeting public-market expectations, and the forward PE of 32.7x prices in substantial margin expansion that has not been demonstrated. The aerospace industry is deeply cyclical — the current revenue surge follows the post-COVID recovery, and any slowdown in air travel demand or engine delivery schedules would directly impact DPC's order book. As a Tier 2/3 supplier, DPC has limited pricing power relative to the OEMs it serves. The stock has declined from $43 to $32 since IPO, suggesting early investor disillusionment as profitability has not materialized.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Aerospace engine aftermarket growth — commercial aviation fleet expansion and aging engine populations drive increasing demand for precision-cast replacement components and new engine program volumes across all four major OEM customers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IPO-related restructuring charges and private equity legacy costs roll off, with underlying gross margin of 23.7% providing a foundation for operating profitability improvement in 2027-2028</w:t>
      </w:r>
    </w:p>
    <w:p>
      <w:pPr>
        <w:spacing w:before="40" w:after="40"/>
        <w:ind w:left="283"/>
      </w:pPr>
      <w:r>
        <w:rPr>
          <w:rFonts w:ascii="Calibri" w:hAnsi="Calibri"/>
          <w:b/>
          <w:color w:val="4A6B25"/>
          <w:sz w:val="20"/>
        </w:rPr>
        <w:t xml:space="preserve">3. </w:t>
      </w:r>
      <w:r>
        <w:rPr>
          <w:rFonts w:ascii="Calibri" w:hAnsi="Calibri"/>
          <w:b w:val="0"/>
          <w:color w:val="3A4A28"/>
          <w:sz w:val="20"/>
        </w:rPr>
        <w:t>Strategic M&amp;A optionality — the $846M cash position and public currency could enable bolt-on acquisitions of complementary precision manufacturing capabilities in the fragmented aerospace supply chain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negative profitability (-26.1% profit margin, -44.7% operating margin) with no demonstrated path to GAAP profitability — the stock has declined 26% from IPO price to $31.77, suggesting the market is losing patience with the unprofitable growth story [1]</w:t>
      </w:r>
    </w:p>
    <w:p>
      <w:pPr>
        <w:spacing w:before="40" w:after="40"/>
        <w:ind w:left="283"/>
      </w:pPr>
      <w:r>
        <w:rPr>
          <w:rFonts w:ascii="Calibri" w:hAnsi="Calibri"/>
          <w:b/>
          <w:color w:val="4A6B25"/>
          <w:sz w:val="20"/>
        </w:rPr>
        <w:t xml:space="preserve">2. </w:t>
      </w:r>
      <w:r>
        <w:rPr>
          <w:rFonts w:ascii="Calibri" w:hAnsi="Calibri"/>
          <w:b w:val="0"/>
          <w:color w:val="3A4A28"/>
          <w:sz w:val="20"/>
        </w:rPr>
        <w:t>Aerospace cycle risk — the 33.7% revenue growth is partly driven by the post-COVID aviation recovery, and any downturn in commercial air travel, OEM delivery delays (Boeing production issues), or defense spending reductions would directly impact order volumes</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risk — dependence on four major OEM customers (GE Aerospace, Honeywell, Pratt &amp; Whitney, Rolls-Royce) means any shift in sourcing strategy or qualification of alternative suppliers could materially impact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DPC manufactures physical precision-cast superalloy components for the hot sections of jet engines and industrial gas turbines — products that require extreme temperature resistance, metallurgical expertise, and stringent aerospace qualification processes that AI structurally cannot displace [1]. The manufacturing process involves vacuum casting of nickel- and cobalt-based superalloys at extreme temperatures, with each component subject to rigorous non-destructive testing and OEM qualification that takes years to achieve. Switching costs for aerospace engine OEMs are prohibitively high, creating a regulatory and certification moat. AI may enhance manufacturing process control and quality inspection over time, but the physical production of these components is immune to AI substitution. The company scores 8 rather than 9 because it remains a supplier (not a platform owner) and faces cyclical demand risk from the aerospace industry. AI Opportunity (0/1): No evidence of AI-related revenue. DPC's products serve conventional aerospace and IGT applications; while AI data centers increase electricity demand (benefiting IGT operators), DPC does not directly generate revenue from AI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DPC Holdings PLC (Doncasters Group) NYSE IPO Filing — $700M Offering, 23.3M Shares at $28-$32, $886M LTM Revenue — Bloomberg Law, Renaissance Capital, SEC Registration Statement, May-June 2026</w:t>
      </w:r>
    </w:p>
    <w:p>
      <w:pPr>
        <w:spacing w:before="20" w:after="20"/>
        <w:ind w:left="170"/>
      </w:pPr>
      <w:r>
        <w:rPr>
          <w:rFonts w:ascii="Calibri" w:hAnsi="Calibri"/>
          <w:b/>
          <w:color w:val="4A6B25"/>
          <w:sz w:val="15"/>
        </w:rPr>
        <w:t xml:space="preserve">2. </w:t>
      </w:r>
      <w:r>
        <w:rPr>
          <w:rFonts w:ascii="Calibri" w:hAnsi="Calibri"/>
          <w:b w:val="0"/>
          <w:color w:val="3A4A28"/>
          <w:sz w:val="17"/>
        </w:rPr>
        <w:t>Qatar Investment Authority $75M Private Placement in Doncasters (DPC), IPO Pricing and Trading Commencement — IPOScoop, Renaissance Capital, June 2026</w:t>
      </w:r>
    </w:p>
    <w:p>
      <w:pPr>
        <w:spacing w:before="20" w:after="20"/>
        <w:ind w:left="170"/>
      </w:pPr>
      <w:r>
        <w:rPr>
          <w:rFonts w:ascii="Calibri" w:hAnsi="Calibri"/>
          <w:b/>
          <w:color w:val="4A6B25"/>
          <w:sz w:val="15"/>
        </w:rPr>
        <w:t xml:space="preserve">3. </w:t>
      </w:r>
      <w:r>
        <w:rPr>
          <w:rFonts w:ascii="Calibri" w:hAnsi="Calibri"/>
          <w:b w:val="0"/>
          <w:color w:val="3A4A28"/>
          <w:sz w:val="17"/>
        </w:rPr>
        <w:t>DPC Holdings / Doncasters Corporate Profile — Precision Superalloy Castings for Aerospace and IGT Markets — Doncasters.com, Yahoo Finance, SEC Filings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