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DT</w:t>
      </w:r>
      <w:r>
        <w:rPr>
          <w:rFonts w:ascii="Calibri" w:hAnsi="Calibri"/>
          <w:b/>
          <w:color w:val="1A2010"/>
          <w:sz w:val="40"/>
        </w:rPr>
        <w:t xml:space="preserve">  Dynatrace, Inc.</w:t>
      </w:r>
    </w:p>
    <w:p>
      <w:pPr>
        <w:spacing w:after="120"/>
      </w:pPr>
      <w:r>
        <w:rPr>
          <w:rFonts w:ascii="Calibri" w:hAnsi="Calibri"/>
          <w:b/>
          <w:color w:val="6E8450"/>
          <w:sz w:val="18"/>
        </w:rPr>
        <w:t>GROWTH SLEEVE · 2026-10-15 · Inspire: 55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NYQ · United States</w:t>
      </w:r>
    </w:p>
    <w:p>
      <w:pPr>
        <w:spacing w:after="80"/>
      </w:pPr>
      <w:r>
        <w:rPr>
          <w:rFonts w:ascii="Calibri" w:hAnsi="Calibri"/>
          <w:b w:val="0"/>
          <w:color w:val="3A4A28"/>
          <w:sz w:val="20"/>
        </w:rPr>
        <w:t>Dynatrace provides an AI-powered software intelligence platform for unified observability, security, and business analytics. The platform delivers automatic discovery, full-stack monitoring, and AI-driven root-cause analysis across hybrid and multi-cloud environments. FY2026 (ended March 2026) revenue reached $2.02B (+19% YoY) with ARR of $2.05B (+18%). FY2027 guided at $2.32-2.34B (+15-16%). Q1 FY2027 delivered $554.5M revenue (+16.2% YoY), beating estimates. Market cap approximately $18.5B.</w:t>
      </w:r>
    </w:p>
    <w:p>
      <w:r>
        <w:rPr>
          <w:rFonts w:ascii="Calibri" w:hAnsi="Calibri"/>
          <w:b/>
          <w:color w:val="6E8450"/>
          <w:sz w:val="18"/>
        </w:rPr>
        <w:t>5,600 Employees · https://www.dynatrace.com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Dynatrace has executed a successful multi-year transformation from legacy APM to a unified observability platform. The Grail data lakehouse engine launched in 2023 expanded the company into log management and analytics, opening a $30B+ TAM beyond its traditional APM roots [1]. The platform now spans observability, security, and business analytics. AI Deployment (2/2): Dynatrace Intelligence, an agentic AI-powered operations system combining deterministic and generative AI, ships to enterprise customers delivering autonomous IT operations at scale [2]. The Davis AI engine has been a core product differentiator for years, with domain-specific AI agents for SRE and development teams driving measurable customer adoption and a record 22 deals over $1M ACV in Q4 FY2026 [1]. Market Share (1/2): Dynatrace is a recognized Gartner Magic Quadrant Leader for APM and Observability, competing with Datadog, Splunk (Cisco), and New Relic. While not the largest by revenue, Dynatrace commands premium pricing and holds a strong enterprise position [1]. Product Pipeline (1/2): FY2027 guidance of $2.32-2.34B (+15-16% growth) provides revenue visibility, with Grail and Dynatrace Intelligence expanding the platform, though specific next-gen product launch dates remain limited. R&amp;D Intensity (1/1): R&amp;D spending is above industry average for enterprise software, reflecting substantial investment in Davis AI, Grail, and platform unification.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Dynatrace's purpose — enabling organizations to 'master the complexity of the cloud' — is clear and specific but not deeply inspiring. It articulates what the company does well but doesn't connect to a larger societal purpose that transcends the product [3]. Community Impact (1/2): Dynatrace published its inaugural Global Impact Report with ESG pillars covering environment, people/culture/community, and governance/ethics [3]. Sustainalytics rates ESG risk as low with strong management, ranking 80th of 959 in its industry group [6]. Corporate social responsibility programs exist but without distinctive dollar amounts. Employee Retention (1/2): Dynatrace was recognized by Glassdoor as one of the 50 best-led organizations in the US, and Built In profiles describe culture emphasizing innovation, ownership, and collaboration [4]. However, recent reviews cite increasing hierarchy and disconnect between product direction and customer needs, suggesting cultural challenges beneath the surface. Insider Buying (1/2): CEO Rick McConnell has been a consistent net seller under 10b5-1 plans, selling $2.1-2.5M in shares across multiple transactions [5]. While prearranged, this does not signal deep personal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Dynatrace's balance sheet is exceptionally clean with D/E of just 6.5% (score 1.0), net cash of $950M against $159M debt [4]. Revenue growth of 16.2% YoY (Q1 FY2027) and an estimated 22% 5-year CAGR both exceed the 10% target (score 1.0, 2x weight each) [1]. Forward P/E of 28.07 is above the 20 target but well below the 60 floor (score 0.80). PEG of 1.31 scores moderately against the 1.0 target (score 0.85, 2x weight). ROE of 5.9% is below the 15% target (score 0.39, 2x weight), reflecting the large intangible asset base from the Thoma Bravo-era leveraged buyout. GAAP profit margin of 7.2% (score 0.36) is depressed by ~$350M annual stock-based compensation despite 29% non-GAAP operating margins and $547M FCF (26% FCF margin) [1]. Weighted sum 7.63/10 = 7.6 rounds to 8. Daily dollar volume of $416M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Dynatrace demonstrates a mixed infinite game posture. The company has a clear technical vision and has successfully pivoted from legacy APM to a unified observability platform, showing existential flexibility. The investment in building Grail from scratch rather than acquiring existing technology demonstrates courage. However, the company's purpose is product-centric rather than cause-driven, employee feedback cites increasing hierarchy, and the $1B share buyback program prioritizes financial engineering over reinvestment in the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Dynatrace exists to 'master the complexity of the cloud' for enterprises — a clear product purpose but not a Just Cause in Sinek's definition [3]. The vision is tied to a specific technology era (cloud computing) rather than an enduring, idealistic future state that transcends products. The purpose is interchangeable with several observability peers and doesn't shape broader societal impact.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Dynatrace earned Glassdoor recognition as a top-50 best-led organization, and CTO Alex Scheran has shaped engineering culture since 2005, providing leadership continuity [4]. Built In profiles describe a culture of innovation, ownership, and collaboration. However, recent employee reviews cite increasing hierarchy, limited bottom-up feedback, and a disconnect between product direction and customer needs. Internal AI adoption was described as 'atrocious' despite the company selling AI products externally — suggesting a gap between leadership messaging and employee experience.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Dynatrace explicitly acknowledges Datadog's strengths in cloud-native monitoring and developer adoption, positioning its own response as deepening enterprise capabilities rather than mimicking the competitor. The decision to build Grail was inspired by competitive pressure from Splunk and Datadog in log analytics — using rivals' strengths to identify its own gaps and improve [1]. Competitive language focuses on differentiation and customer value rather than market share wars.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Dynatrace evolved significantly from its legacy Compuware-era APM origins to a modern SaaS observability platform, including the Grail data lakehouse pivot that substantially expanded its addressable market [1]. This was a meaningful business model transformation — from perpetual licenses to SaaS, from narrow APM to unified observability. However, the transformation was incremental over many years rather than a single bold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Dynatrace made the courageous decision to invest heavily in building the Grail data lakehouse from scratch rather than acquiring existing log analytics technology — a multi-year R&amp;D commitment that delayed near-term revenue growth in exchange for long-term platform differentiation [2]. The company also maintained premium pricing and refused to compete on price against cheaper alternatives. However, the $1B share buyback program suggests capital allocation leans toward financial engineering over reinvestment in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Dynatrace at $63.58 (28x forward earnings, PEG 1.31) offers a durable growth compounder in enterprise observability with best-in-class unit economics. FY2026 revenue of $2.02B (+19% YoY) with 29% non-GAAP operating margins and $547M FCF demonstrates the subscription flywheel is working [1]. Q1 FY2027 delivered $554.5M revenue (+16.2%), beating estimates and lifting the stock 10.3% [7]. The $2.05B ARR with 18% growth validates sustainable enterprise demand. The Grail data lakehouse and Dynatrace Intelligence agentic AI platform expand TAM from ~$15B (APM) to $30B+ (unified observability, security, business analytics), with a record 22 deals over $1M ACV in Q4 FY2026 signaling enterprise consolidation onto the platform [1][2]. FY2027 guidance of $2.32-2.34B with $613-620M FCF provides visibility into continued compounding. The Inspire Impact Score of 55 (ALIGNED) is a positive for faith-based investors.</w:t>
      </w:r>
    </w:p>
    <w:p>
      <w:pPr>
        <w:spacing w:after="120"/>
      </w:pPr>
      <w:r>
        <w:rPr>
          <w:rFonts w:ascii="Calibri" w:hAnsi="Calibri"/>
          <w:b w:val="0"/>
          <w:color w:val="3A4A28"/>
          <w:sz w:val="20"/>
        </w:rPr>
        <w:t>The bear case centers on decelerating growth, elevated valuation, and AI disruption risk. FY2027 revenue guidance of 15-16% growth represents a deceleration from the 19% achieved in FY2026, and the stock's 29% rally from $49.30 to $63.58 since August has compressed the margin of safety at 28x forward earnings [4]. Datadog continues to gain share in cloud-native monitoring with a faster growth rate and broader developer adoption, while Cisco's Splunk acquisition creates a formidable enterprise competitor with distribution advantages. The observability market faces commoditization pressure as OpenTelemetry standards reduce data collection switching costs. GAAP profitability remains weak at 7.2% profit margin due to heavy stock-based compensation (~$350M annually), which dilutes shareholders despite the $1B buyback program. ROE of 5.9% is poor for a software company, reflecting the large intangible asset base. CEO McConnell's consistent insider selling (~$2M+ per quarter) does not signal personal conviction [5]. AI is both opportunity and threat — while Dynatrace builds AI products, AI could also automate the monitoring tasks that customers pay Dynatrace to solve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Dynatrace Intelligence agentic AI platform driving incremental ACV as enterprises adopt autonomous IT operations — record 22 deals over $1M ACV in Q4 FY2026 and Q1 FY2027 revenue beating estimates suggest momentum in large-deal closures [1][7]</w:t>
      </w:r>
    </w:p>
    <w:p>
      <w:pPr>
        <w:spacing w:before="40" w:after="40"/>
        <w:ind w:left="283"/>
      </w:pPr>
      <w:r>
        <w:rPr>
          <w:rFonts w:ascii="Calibri" w:hAnsi="Calibri"/>
          <w:b/>
          <w:color w:val="4A6B25"/>
          <w:sz w:val="20"/>
        </w:rPr>
        <w:t xml:space="preserve">2. </w:t>
      </w:r>
      <w:r>
        <w:rPr>
          <w:rFonts w:ascii="Calibri" w:hAnsi="Calibri"/>
          <w:b w:val="0"/>
          <w:color w:val="3A4A28"/>
          <w:sz w:val="20"/>
        </w:rPr>
        <w:t>Grail data lakehouse maturation enabling log management and security analytics cross-sells, expanding average deal sizes and reducing competitive displacement risk from Splunk/Datadog in the $30B+ unified observability TAM [2]</w:t>
      </w:r>
    </w:p>
    <w:p>
      <w:pPr>
        <w:spacing w:before="40" w:after="40"/>
        <w:ind w:left="283"/>
      </w:pPr>
      <w:r>
        <w:rPr>
          <w:rFonts w:ascii="Calibri" w:hAnsi="Calibri"/>
          <w:b/>
          <w:color w:val="4A6B25"/>
          <w:sz w:val="20"/>
        </w:rPr>
        <w:t xml:space="preserve">3. </w:t>
      </w:r>
      <w:r>
        <w:rPr>
          <w:rFonts w:ascii="Calibri" w:hAnsi="Calibri"/>
          <w:b w:val="0"/>
          <w:color w:val="3A4A28"/>
          <w:sz w:val="20"/>
        </w:rPr>
        <w:t>Inspire Impact Score of 55 (ALIGNED) with zero negative attributions makes DT one of the highest-scoring technology stocks for faith-based investors, potentially attracting ESG/values-based capital flows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19% (FY2026) to guided 15-16% (FY2027) at an elevated 28x forward P/E may compress valuation multiples if the market reprices DT from a high-growth SaaS name to a mid-teens grower [1][4]</w:t>
      </w:r>
    </w:p>
    <w:p>
      <w:pPr>
        <w:spacing w:before="40" w:after="40"/>
        <w:ind w:left="283"/>
      </w:pPr>
      <w:r>
        <w:rPr>
          <w:rFonts w:ascii="Calibri" w:hAnsi="Calibri"/>
          <w:b/>
          <w:color w:val="4A6B25"/>
          <w:sz w:val="20"/>
        </w:rPr>
        <w:t xml:space="preserve">2. </w:t>
      </w:r>
      <w:r>
        <w:rPr>
          <w:rFonts w:ascii="Calibri" w:hAnsi="Calibri"/>
          <w:b w:val="0"/>
          <w:color w:val="3A4A28"/>
          <w:sz w:val="20"/>
        </w:rPr>
        <w:t>AI disruption risk as LLM-powered observability tools and AI copilots could commoditize incident detection and root-cause analysis — Dynatrace's core value proposition — with OpenTelemetry reducing switching costs [2]</w:t>
      </w:r>
    </w:p>
    <w:p>
      <w:pPr>
        <w:spacing w:before="40" w:after="40"/>
        <w:ind w:left="283"/>
      </w:pPr>
      <w:r>
        <w:rPr>
          <w:rFonts w:ascii="Calibri" w:hAnsi="Calibri"/>
          <w:b/>
          <w:color w:val="4A6B25"/>
          <w:sz w:val="20"/>
        </w:rPr>
        <w:t xml:space="preserve">3. </w:t>
      </w:r>
      <w:r>
        <w:rPr>
          <w:rFonts w:ascii="Calibri" w:hAnsi="Calibri"/>
          <w:b w:val="0"/>
          <w:color w:val="3A4A28"/>
          <w:sz w:val="20"/>
        </w:rPr>
        <w:t>GAAP profitability drag from ~$350M annual stock-based compensation undermines the free cash flow narrative, and consistent insider selling by CEO McConnell ($2M+ per quarter) weakens management conviction signals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Dynatrace operates in observability and monitoring, which faces meaningful AI disruption risk from multiple angles. AI-native monitoring tools and large language models could automate incident detection and root-cause analysis — capabilities that are Dynatrace's core value proposition [2]. Competitors like Datadog are aggressively integrating AI, and OpenTelemetry standards reduce data collection switching costs. However, Dynatrace's proprietary topology mapping, the Davis AI engine's deterministic approach, and deep enterprise integrations with years of customer-specific data create meaningful switching costs. The complexity of enterprise IT estates means AI copilots cannot easily replace full-stack observability platforms. Regulatory compliance in financial services and healthcare also protects the incumbent position. AI Opportunity (1/1): Dynatrace generates meaningful AI-embedded revenue through Davis AI and the Dynatrace Intelligence agentic AI platform. Record 22 deals over $1M ACV in Q4 FY2026 were driven by AI-powered automation capabilities [1]. AI is both a product differentiator and a revenue driver across the platform.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Dynatrace Q4/FY2026 Earnings Release — Revenue $2.02B (+19%), ARR $2.05B (+18%), Non-GAAP Op Margin 29%, FCF $547M, Record 22 Deals &gt;$1M ACV, SEC 8-K, May 2026</w:t>
      </w:r>
    </w:p>
    <w:p>
      <w:pPr>
        <w:spacing w:before="20" w:after="20"/>
        <w:ind w:left="170"/>
      </w:pPr>
      <w:r>
        <w:rPr>
          <w:rFonts w:ascii="Calibri" w:hAnsi="Calibri"/>
          <w:b/>
          <w:color w:val="4A6B25"/>
          <w:sz w:val="15"/>
        </w:rPr>
        <w:t xml:space="preserve">2. </w:t>
      </w:r>
      <w:r>
        <w:rPr>
          <w:rFonts w:ascii="Calibri" w:hAnsi="Calibri"/>
          <w:b w:val="0"/>
          <w:color w:val="3A4A28"/>
          <w:sz w:val="17"/>
        </w:rPr>
        <w:t>Dynatrace Q3 FY2026 Earnings — ARR $1,972M (+20%), Dynatrace Intelligence Agentic AI Launch, Davis AI Platform, January 2026</w:t>
      </w:r>
    </w:p>
    <w:p>
      <w:pPr>
        <w:spacing w:before="20" w:after="20"/>
        <w:ind w:left="170"/>
      </w:pPr>
      <w:r>
        <w:rPr>
          <w:rFonts w:ascii="Calibri" w:hAnsi="Calibri"/>
          <w:b/>
          <w:color w:val="4A6B25"/>
          <w:sz w:val="15"/>
        </w:rPr>
        <w:t xml:space="preserve">3. </w:t>
      </w:r>
      <w:r>
        <w:rPr>
          <w:rFonts w:ascii="Calibri" w:hAnsi="Calibri"/>
          <w:b w:val="0"/>
          <w:color w:val="3A4A28"/>
          <w:sz w:val="17"/>
        </w:rPr>
        <w:t>Dynatrace Purpose and Global Impact Report — ESG Pillars: Environment, People/Culture/Community, Governance/Ethics, ir.dynatrace.com,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DT Key Statistics, Forward P/E 28.07x, PEG 1.31, D/E 6.5%,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Dynatrace Insider Trading — CEO Rick McConnell 10b5-1 Plan Sales: $2.1-2.5M per quarter, Investing.com/TipRanks, 2025-2026</w:t>
      </w:r>
    </w:p>
    <w:p>
      <w:pPr>
        <w:spacing w:before="20" w:after="20"/>
        <w:ind w:left="170"/>
      </w:pPr>
      <w:r>
        <w:rPr>
          <w:rFonts w:ascii="Calibri" w:hAnsi="Calibri"/>
          <w:b/>
          <w:color w:val="4A6B25"/>
          <w:sz w:val="15"/>
        </w:rPr>
        <w:t xml:space="preserve">6. </w:t>
      </w:r>
      <w:r>
        <w:rPr>
          <w:rFonts w:ascii="Calibri" w:hAnsi="Calibri"/>
          <w:b w:val="0"/>
          <w:color w:val="3A4A28"/>
          <w:sz w:val="17"/>
        </w:rPr>
        <w:t>Dynatrace ESG Ratings — Sustainalytics Low Risk, 80th Percentile in Industry, Strong Management; Inaugural Impact Report, 2024-2026</w:t>
      </w:r>
    </w:p>
    <w:p>
      <w:pPr>
        <w:spacing w:before="20" w:after="20"/>
        <w:ind w:left="170"/>
      </w:pPr>
      <w:r>
        <w:rPr>
          <w:rFonts w:ascii="Calibri" w:hAnsi="Calibri"/>
          <w:b/>
          <w:color w:val="4A6B25"/>
          <w:sz w:val="15"/>
        </w:rPr>
        <w:t xml:space="preserve">7. </w:t>
      </w:r>
      <w:r>
        <w:rPr>
          <w:rFonts w:ascii="Calibri" w:hAnsi="Calibri"/>
          <w:b w:val="0"/>
          <w:color w:val="3A4A28"/>
          <w:sz w:val="17"/>
        </w:rPr>
        <w:t>Dynatrace Q1 FY2027 Earnings — Revenue $554.5M (+16.2% YoY), Beat Estimates, Stock +10.3%, FY2027 Guidance $2.32-2.34B, Barchart,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