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DUK</w:t>
      </w:r>
      <w:r>
        <w:rPr>
          <w:rFonts w:ascii="Calibri" w:hAnsi="Calibri"/>
          <w:b/>
          <w:color w:val="1A2010"/>
          <w:sz w:val="40"/>
        </w:rPr>
        <w:t xml:space="preserve">  Duke Energy Corporation</w:t>
      </w:r>
    </w:p>
    <w:p>
      <w:pPr>
        <w:spacing w:after="120"/>
      </w:pPr>
      <w:r>
        <w:rPr>
          <w:rFonts w:ascii="Calibri" w:hAnsi="Calibri"/>
          <w:b/>
          <w:color w:val="6E8450"/>
          <w:sz w:val="18"/>
        </w:rPr>
        <w:t>DIVIDEND SLEEVE · 2026-10-21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Duke Energy is one of the largest energy holding companies in the United States, serving approximately 8.4 million electric and natural gas customers across six states through its regulated utilities. Under CEO Harry Sideris, Duke announced an industry-record $103 billion five-year capital plan to meet surging power demand driven by AI data centers, with 7.8 GW of service agreements signed and 15 GW of new capacity planned by 2031. H1 2026 revenue was $16.77B (+6.4% YoY) with EPS of $3.35 vs $3.00 prior year, and the company reaffirmed full-year 2026 adjusted EPS guidance of $6.55-$6.80 with 5-7% earnings growth through 2030.</w:t>
      </w:r>
    </w:p>
    <w:p>
      <w:r>
        <w:rPr>
          <w:rFonts w:ascii="Calibri" w:hAnsi="Calibri"/>
          <w:b/>
          <w:color w:val="6E8450"/>
          <w:sz w:val="18"/>
        </w:rPr>
        <w:t>27,600 Employees · https://www.duke-energy.com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Duke Energy is executing a significant strategic pivot from slow-growth regulated utility to an AI/data-center-driven growth story, with CEO Sideris stating demand is growing at 10 times the historic pace [2]. The $103 billion five-year capital plan — the largest in U.S. utility history — represents a transformative commitment to grid expansion, adding 20 GW of new generation through gas, solar, battery storage, and grid upgrades over a decade [2]. AI Deployment (1/2): Duke's CIO leads digital and AI transformation for grid optimization, predictive maintenance, and operational efficiency, partnering with Microsoft, Google, and AWS [2]. No specific AI products or quantified savings reported. Market Share (2/2): Duke is the nation's largest utility grid operator, holding monopoly franchise positions across six states serving 8.4 million customers with no competitive threat to its core regulated territory [1]. Product Pipeline (1/2): The $103B capital plan provides visibility through 2030 with 9.6% earnings base growth and 7.8 GW of data center agreements, but execution and regulatory approval at this scale remain uncertain. R&amp;D Intensity (0/1): Utilities invest minimally in R&amp;D as a percentage of revenue, relying on regulatory cost recovery.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Duke Energy's purpose of powering communities and building a cleaner energy future is specific and connects operations to essential societal infrastructure. CEO Sideris frames innovation as 'in Duke's DNA since its founders dammed a river to electrify a state,' articulating multi-generational purpose [2]. However, the environmental track record undermines the cleaner energy narrative. Community Impact (1/2): Duke maintains substantial community engagement as a regulated utility with deep ties to six-state service territory, but its record includes the 2014 Dan River coal ash spill (39,000 tons, $202M in fines) and 110 million tons of coal ash in unlined pits at 24 sites violating federal regulations [3]. Employee Retention (1/2): Harry Sideris became CEO after an entire career at Duke and predecessor companies, and leadership continuity with internal promotion signals organizational stability, though no specific tenure data was found. Insider Buying (1/2): Limited insider transaction data but long-tenured leadership suggests alignment through career commitment rather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Duke's Forward P/E of 16.9 is below the 20x target (score 1.0) [4]. D/E of 162.2% (score 0.60) is elevated but typical of capital-intensive regulated utilities. ROE of 9.9% (score 0.66) is below 15% target but consistent with regulatory return caps. Profit margin of 16.0% (score 0.80) approaches but does not reach the 20% target. Revenue growth YoY of 1.1% (score 0.70) is modest. The dividend profile is mixed: 98 consecutive years of payments (score 1.0, 2x weight) is among the longest in corporate America, 19 consecutive years of growth (score 1.0), and payout ratio of ~65% (score 0.58) is adequate. The drag is the 5-year dividend growth CAGR of ~2.0% (score 0.33, 2x weight), well below the 6% target [4]. Estimated 5-year revenue CAGR of ~5% (score 0.67). Daily dollar volume of ~$502M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Duke Energy benefits from the inherent long-term orientation of regulated utilities — the $103B five-year capital plan and 98 consecutive years of dividend payments signal intergenerational thinking. Harry Sideris's promotion from within reflects organizational continuity. However, the environmental track record — coal ash contamination, lobbying against regulations, and environmental justice concerns — reveals finite-game pragmatism that prioritizes near-term costs over long-term responsibility.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Duke's purpose of powering communities with reliable, affordable, and increasingly clean energy connects to essential societal infrastructure. The 98-year dividend payment history signals a purpose that transcends any single leader [1]. CEO Sideris frames the mission as multi-generational [2]. However, the cause is undermined by coal ash contamination and lobbying against environmental regulations, creating a gap between articulated purpose and lived behavior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Duke demonstrates organizational stability with Sideris's promotion from within after an entire career at the company, and smooth CEO transitions suggest succession planning maturity [2]. The company employs 27,600 in a stable regulated industry with union representation. No specific turnover or satisfaction data distinguishes Duke from average utility employers.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As a regulated monopoly, Duke competes for capital, talent, and regulatory approval against peers like NextEra, Southern Company, and Dominion. The $103B capital plan is positioned as meeting customer needs rather than outspending competitors, and Duke's partnering with Microsoft, Google, and AWS for grid innovation reflects humility about capabilities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Duke is evolving from traditional slow-growth utility to an AI/data center infrastructure play, with the $103B capital plan representing the largest utility investment in U.S. history [2]. Also transitioning generation mix toward renewables and gas from coal. However, these are evolutionary adaptations to market conditions rather than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$103B capital plan represents a bold long-term bet on sustained demand growth, committing Duke to the largest utility infrastructure investment in history [2]. Maintaining 5-7% earnings growth guidance through 2030 demonstrates willingness to invest for long-term capability. However, simultaneous lobbying to roll back coal ash and carbon regulations represents finite-game behavior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Duke Energy at 16.9x forward earnings offers a regulated utility uniquely positioned to benefit from the AI-driven power demand surge. The $103B five-year capital plan drives 9.6% earnings base growth through 2030, backed by 7.8 GW of signed data center service agreements and 15 GW of new capacity planned by 2031 [1][2]. CEO Sideris states AI demand is growing at 10x the historic pace, transforming Duke from a 0-0.5% load growth utility into a mid-single-digit growth story. The 3.51% dividend yield with 98 consecutive years of payments and 19 years of increases provides income stability, and management reaffirmed 5-7% EPS growth through 2030 [1].</w:t>
      </w:r>
    </w:p>
    <w:p>
      <w:pPr>
        <w:spacing w:after="120"/>
      </w:pPr>
      <w:r>
        <w:rPr>
          <w:rFonts w:ascii="Calibri" w:hAnsi="Calibri"/>
          <w:b w:val="0"/>
          <w:color w:val="3A4A28"/>
          <w:sz w:val="20"/>
        </w:rPr>
        <w:t>The bear case centers on execution risk, leverage, and environmental liabilities. D/E of 162% is high even by utility standards, and the $103B capital plan requires sustained regulatory approval for cost recovery — any resistance could compress returns. The 2.0% 5-year dividend growth CAGR is well below inflation, eroding real income value despite 19 years of nominal increases [4]. ROE of 9.9% and profit margin of 16% reflect regulatory return caps limiting upside. The coal ash legacy (110 million tons in unlined pits, 24 sites violating federal regulations, $202M in fines) represents open-ended environmental liability potentially requiring billions in remediation [3]. PEG ratio of 2.85 suggests the current valuation already prices in the AI growth 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demand driving power load growth at 10x historic rates, with 7.8 GW of service agreements signed and pipeline toward 15 GW by 2031 — each GW translates to billions in regulated rate base growth [1][2]</w:t>
      </w:r>
    </w:p>
    <w:p>
      <w:pPr>
        <w:spacing w:before="40" w:after="40"/>
        <w:ind w:left="283"/>
      </w:pPr>
      <w:r>
        <w:rPr>
          <w:rFonts w:ascii="Calibri" w:hAnsi="Calibri"/>
          <w:b/>
          <w:color w:val="4A6B25"/>
          <w:sz w:val="20"/>
        </w:rPr>
        <w:t xml:space="preserve">2. </w:t>
      </w:r>
      <w:r>
        <w:rPr>
          <w:rFonts w:ascii="Calibri" w:hAnsi="Calibri"/>
          <w:b w:val="0"/>
          <w:color w:val="3A4A28"/>
          <w:sz w:val="20"/>
        </w:rPr>
        <w:t>$103B five-year capital plan providing 9.6% earnings base growth through 2030, with management signaling the number will grow as data center demand accelerates [2]</w:t>
      </w:r>
    </w:p>
    <w:p>
      <w:pPr>
        <w:spacing w:before="40" w:after="40"/>
        <w:ind w:left="283"/>
      </w:pPr>
      <w:r>
        <w:rPr>
          <w:rFonts w:ascii="Calibri" w:hAnsi="Calibri"/>
          <w:b/>
          <w:color w:val="4A6B25"/>
          <w:sz w:val="20"/>
        </w:rPr>
        <w:t xml:space="preserve">3. </w:t>
      </w:r>
      <w:r>
        <w:rPr>
          <w:rFonts w:ascii="Calibri" w:hAnsi="Calibri"/>
          <w:b w:val="0"/>
          <w:color w:val="3A4A28"/>
          <w:sz w:val="20"/>
        </w:rPr>
        <w:t>Management guidance to earn in the top half of 5-7% EPS growth range beginning 2028, suggesting earnings acceleration in later capital plan years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162% and $103B capital plan requiring sustained regulatory cost recovery approval — pushback from state public utility commissions could compress returns and force plan reductions</w:t>
      </w:r>
    </w:p>
    <w:p>
      <w:pPr>
        <w:spacing w:before="40" w:after="40"/>
        <w:ind w:left="283"/>
      </w:pPr>
      <w:r>
        <w:rPr>
          <w:rFonts w:ascii="Calibri" w:hAnsi="Calibri"/>
          <w:b/>
          <w:color w:val="4A6B25"/>
          <w:sz w:val="20"/>
        </w:rPr>
        <w:t xml:space="preserve">2. </w:t>
      </w:r>
      <w:r>
        <w:rPr>
          <w:rFonts w:ascii="Calibri" w:hAnsi="Calibri"/>
          <w:b w:val="0"/>
          <w:color w:val="3A4A28"/>
          <w:sz w:val="20"/>
        </w:rPr>
        <w:t>Coal ash environmental liabilities (110 million tons, 24 sites violating federal regulations) represent open-ended remediation costs potentially reaching billions not in current investment plan [3]</w:t>
      </w:r>
    </w:p>
    <w:p>
      <w:pPr>
        <w:spacing w:before="40" w:after="40"/>
        <w:ind w:left="283"/>
      </w:pPr>
      <w:r>
        <w:rPr>
          <w:rFonts w:ascii="Calibri" w:hAnsi="Calibri"/>
          <w:b/>
          <w:color w:val="4A6B25"/>
          <w:sz w:val="20"/>
        </w:rPr>
        <w:t xml:space="preserve">3. </w:t>
      </w:r>
      <w:r>
        <w:rPr>
          <w:rFonts w:ascii="Calibri" w:hAnsi="Calibri"/>
          <w:b w:val="0"/>
          <w:color w:val="3A4A28"/>
          <w:sz w:val="20"/>
        </w:rPr>
        <w:t>5-year dividend growth CAGR of 2.0% is below inflation, eroding real income value — if dividend growth cannot accelerate, income-focused investors may reallocate to utilities with stronger growth profiles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Duke Energy is structurally immune to AI disruption and is among the clearest AI beneficiaries in the market. The utility business involves physical-world operations — power plants, transmission lines, distribution networks — that AI cannot displace. AI data centers dramatically increase electricity demand; CEO Sideris states AI is driving power demand at 10 times the historic pace, and Duke has secured 7.8 GW of data center service agreements with 15 GW planned by 2031 [2]. The regulated monopoly structure means no competitive mechanism exists through which AI could displace Duke's franchise. As physical infrastructure provider to AI itself, Duke sits at the immune end of the disruption spectrum. AI Opportunity (1/1): Duke generates direct AI-related revenue through data center service agreements (7.8 GW signed), and the $103B capital plan is substantially driven by AI-powered demand growth flowing through regulated rate structures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Duke Energy H1 2026 Earnings — Revenue $16.77B (+6.4% YoY), EPS $3.35 vs $3.00, reaffirmed $6.55-$6.80 FY26 EPS guidance, 5-7% growth through 2030 — Duke Energy IR, 2026</w:t>
      </w:r>
    </w:p>
    <w:p>
      <w:pPr>
        <w:spacing w:before="20" w:after="20"/>
        <w:ind w:left="170"/>
      </w:pPr>
      <w:r>
        <w:rPr>
          <w:rFonts w:ascii="Calibri" w:hAnsi="Calibri"/>
          <w:b/>
          <w:color w:val="4A6B25"/>
          <w:sz w:val="15"/>
        </w:rPr>
        <w:t xml:space="preserve">2. </w:t>
      </w:r>
      <w:r>
        <w:rPr>
          <w:rFonts w:ascii="Calibri" w:hAnsi="Calibri"/>
          <w:b w:val="0"/>
          <w:color w:val="3A4A28"/>
          <w:sz w:val="17"/>
        </w:rPr>
        <w:t>Duke Energy Capital Plan &amp; AI Demand — $103B five-year plan, 7.8 GW data center agreements, 15 GW new capacity by 2031, CEO Sideris commentary — Investor Presentations, 2026</w:t>
      </w:r>
    </w:p>
    <w:p>
      <w:pPr>
        <w:spacing w:before="20" w:after="20"/>
        <w:ind w:left="170"/>
      </w:pPr>
      <w:r>
        <w:rPr>
          <w:rFonts w:ascii="Calibri" w:hAnsi="Calibri"/>
          <w:b/>
          <w:color w:val="4A6B25"/>
          <w:sz w:val="15"/>
        </w:rPr>
        <w:t xml:space="preserve">3. </w:t>
      </w:r>
      <w:r>
        <w:rPr>
          <w:rFonts w:ascii="Calibri" w:hAnsi="Calibri"/>
          <w:b w:val="0"/>
          <w:color w:val="3A4A28"/>
          <w:sz w:val="17"/>
        </w:rPr>
        <w:t>Duke Energy Environmental Track Record — Dan River coal ash spill $202M fines, 110M tons coal ash, 24 sites violating federal regulations — EPA, environmental reporting, 2014-2026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DUK key statistics: price $121.33, forward P/E 16.93, D/E 162.2%, ROE 9.9%, profit margin 16.0%, avg volume 4.1M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