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DVLT</w:t>
      </w:r>
      <w:r>
        <w:rPr>
          <w:rFonts w:ascii="Calibri" w:hAnsi="Calibri"/>
          <w:b/>
          <w:color w:val="1A2010"/>
          <w:sz w:val="40"/>
        </w:rPr>
        <w:t xml:space="preserve">  Datavault AI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Datavault AI offers data tokenization, monetization and IP licensing platforms, expanded through acquisitions (CSI, API Media). Q2 2026 revenue was $6.72M (+287% YoY) against a net loss of $88M.</w:t>
      </w:r>
    </w:p>
    <w:p>
      <w:r>
        <w:rPr>
          <w:rFonts w:ascii="Calibri" w:hAnsi="Calibri"/>
          <w:b/>
          <w:color w:val="6E8450"/>
          <w:sz w:val="18"/>
        </w:rPr>
        <w:t>https://www.datavaultsite.com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Repositioned toward tokenization and data monetization, still early. AI Deployment (1/2): AI and tokenization products announced, but no quantified savings. Market Share (0/2): No category leadership. Pipeline (1/2): $200M 2026 revenue target is stated but contrasts with Q1-Q2 revenue of just $10.1M combined [1]. R&amp;D Intensity (0/1): No evidence of above-peer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data-monetization positioning. Community (0/2), Employee Retention (0/2): Glassdoor describes a culture of confusion, fear and retaliation [2]. Insider Buying (0/2): No net insider buying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Growth sleeve, mechanical. D/E 3.9% (1.0), ROE -108% (0.0, 2x), revenue growth 287% (1.0), profit margin deeply negative (0.0). Forward P/E 1.1 from yfinance judged unreliable given an $88M quarterly loss and excluded; 5yr CAGR and PEG unavailable. Weighted 2.0 of 5 gives 4. Dollar volume of about $6M clears the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Datavault AI chases quarter-to-quarter narrative with aggressive revenue targets, serial acquisitions and an unstable organization, which is the finite pattern Sinek warns against.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articulated cause beyond data monetization and growth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cites fear, retaliation and reactive leadership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Has changed business model repeatedly, though not clearly in service of a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costly principled decisions; a $200M target was reiterated against a Q2 revenue miss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Datavault AI is growing revenue quickly from a tiny base ($6.72M in Q2 2026, +287%) via acquisitions and patent license sales, and management targets $200M for 2026 [1]. D/E is just 3.9% and the tokenization platform gives optionality if partner deals convert.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Q2 net loss was $88M against $2.9M gross profit and $29.3M opex, and the Q2 revenue miss weighed on shares against a $200M target that needs about $190M over the remaining two quarters [1]. At $0.15 with 40M daily shares, dilution and Nasdaq listing risk are high, and Glassdoor reports a fear-driven culture [2]. The Inspire score of 0 is uninformative.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Closing partner tokenization and data-monetization deals to approach the $200M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Contribution from acquired CSI and API Media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Patent licensing sales continuing to scale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Net loss of $88M in Q2 2026 on $6.7M revenue; dilution and financing dependence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target credibility: $10.1M in H1 against $200M goal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instability and fear-based culture reports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A micro-cap in data and software tokenization faces competition from larger platforms and AI tools; growth is acquisition-driven and unproven [1]. AI Opportunity (0/1): Reported revenue stems mainly from acquisitions and patent licensing, not demonstrated AI products.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Datavault AI Q1 and Q2 2026 results, Nasdaq/StockTitan/Investing.com,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DataVault reviews; Simply Wall St management analysis,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