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DX</w:t>
      </w:r>
      <w:r>
        <w:rPr>
          <w:rFonts w:ascii="Calibri" w:hAnsi="Calibri"/>
          <w:b/>
          <w:color w:val="1A2010"/>
          <w:sz w:val="40"/>
        </w:rPr>
        <w:t xml:space="preserve">  Dynex Capital, Inc.</w:t>
      </w:r>
    </w:p>
    <w:p>
      <w:pPr>
        <w:spacing w:after="120"/>
      </w:pPr>
      <w:r>
        <w:rPr>
          <w:rFonts w:ascii="Calibri" w:hAnsi="Calibri"/>
          <w:b/>
          <w:color w:val="6E8450"/>
          <w:sz w:val="18"/>
        </w:rPr>
        <w:t>DIVIDEND SLEEVE · 2026-10-15 · Inspire: 21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Mortgage · NYQ · United States</w:t>
      </w:r>
    </w:p>
    <w:p>
      <w:pPr>
        <w:spacing w:after="80"/>
      </w:pPr>
      <w:r>
        <w:rPr>
          <w:rFonts w:ascii="Calibri" w:hAnsi="Calibri"/>
          <w:b w:val="0"/>
          <w:color w:val="3A4A28"/>
          <w:sz w:val="20"/>
        </w:rPr>
        <w:t>Dynex Capital is a mortgage real estate investment trust (mREIT) that invests in agency and non-agency mortgage-backed securities on a leveraged basis, generating income from the spread between MBS yields and repurchase agreement borrowing costs. Co-led by Byron Boston (Chairman/Co-CEO) and Smriti Popenoe (President/Co-CEO/CIO) since July 2024, Dynex operates with just 28 employees, trailing EPS of $2.89, and a market cap of $2.7B. The stock trades at $10.84, down 27% from its 52-week high of $14.93.</w:t>
      </w:r>
    </w:p>
    <w:p>
      <w:r>
        <w:rPr>
          <w:rFonts w:ascii="Calibri" w:hAnsi="Calibri"/>
          <w:b/>
          <w:color w:val="6E8450"/>
          <w:sz w:val="18"/>
        </w:rPr>
        <w:t>28 Employees · https://www.dynexcapital.com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Dynex navigated the 2022-2024 interest rate shock by shifting portfolio composition toward shorter-duration agency RMBS and adjusting leverage from ~9x down to ~7x, demonstrating incremental strategic adaptation, and the co-CEO promotion of Smriti Popenoe in July 2024 represented meaningful organizational evolution for a 28-person firm [1][2]. However, the fundamental business model — leveraged agency MBS investing — is unchanged from five years ago. AI Deployment (0/2): No evidence of AI-powered products or quantifiable AI-driven efficiencies; the company hired a CTO (Harman Sahni) and added a Chief Risk Officer, but no shipped AI products or specific cost savings have been reported [2]. Market Share Leadership (0/2): Dynex is a small participant in the agency mREIT space with a $2.7B market cap versus AGNC Investment (~$8B) and Annaly Capital (~$11B); no evidence of category leadership or meaningful share gains [4]. Product Pipeline (0/2): mREITs do not develop products; Dynex's output is portfolio positioning and capital allocation decisions that evolve with rate environments but lack next-generation product timelines. R&amp;D Intensity (0/1): Zero R&amp;D spending as a percentage of revenue; the CTO hire represents technology investment unusual for a sub-30-person mREIT but does not constitute R&amp;D in the traditional sense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Dynex Capital's purpose centers on generating attractive risk-adjusted returns for shareholders through disciplined MBS investment — a boilerplate financial services mission interchangeable with any mortgage REIT peer, articulating no deeper purpose beyond capital allocation and income generation [1]. Community Impact (0/2): The company's 10-K references corporate giving, employee volunteering, and environmental sustainability programs under the SASB framework, but with only 28 employees no specific dollar amounts, distinctive programs, or measurable community impact are cited [3]. Employee Retention (1/2): Leadership stability is notable — Byron Boston has served as CEO/Co-CEO since 2014 (12 years), Smriti Popenoe was promoted to Co-CEO after years as President/CIO, and Rob Colligan was elevated to CFO/COO, demonstrating internal development [2]. However, with 28 employees, broader retention or tenure data is not publicly available. Insider Buying (0/2): No evidence of meaningful net insider buying by Boston, Popenoe, or other executives in the last 12 months; insider transactions appear limited to compensation-related activity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(revenue growth excluded as unavailable). D/E of 713.5% scores 0.0, exceeding the 300% floor — though this leverage is structural for mortgage REITs financing MBS through repurchase agreements at 7-8x equity [1][4]. ROE of 18.2% exceeds the 15% target (score 1.0), and profit margin of 86.8% far surpasses the 20% threshold (score 1.0), reflecting the high pass-through profitability of net interest income. Forward P/E of 7.0x is deeply discounted versus the 20x target (score 1.0). Payout ratio of 70.6% scores 0.49 against the 40% target, typical for REITs required to distribute 90%+ of taxable income. Consecutive years of dividend payments (~33 years since 1993) scores 1.0 at 2x weight [3]. Consecutive years of dividend growth is only 1 year (score 0.1) as dividends declined in 2021 and 2024 before the recent raise to $0.17/month. The 5-year dividend growth CAGR of 3.6% (2020: $1.66 to 2025: $1.98) scores 0.60 at 2x weight. Daily dollar volume of $68.7M clears the $1M liquidity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Dynex Capital operates primarily as a finite player optimized for quarterly distributable earnings and dividend maintenance. The company's purpose is entirely financial — earn spread income on leveraged MBS — with no articulated vision of a future state beyond shareholder returns. While leadership stability under Byron Boston's 12-year tenure and the co-CEO succession plan demonstrate organizational maturity, and the company has adapted tactically through rate cycles, there is no Just Cause, no transformative strategic flexibility, and the competitive orientation is benchmarking rather than self-improvement. Sinek would note that a 33-year dividend streak shows endurance but not purpose.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Dynex Capital exists to generate income for shareholders through leveraged agency MBS investing — a purely financial purpose with no articulated vision of a future state worth sacrificing for [1]. The company's communications center entirely on book value, distributable earnings, leverage ratios, and dividend coverage. While the business contributes to mortgage market liquidity, this societal benefit is not articulated as a driving purpose. Byron Boston has spoken about building organizational resilience, but this is an operational goal, not a Just Cause in Sinek's framework.</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co-CEO transition in July 2024 — elevating Smriti Popenoe alongside Byron Boston rather than replacing him — signals collaborative leadership culture and trust in shared power, which is unusual in financial services [2]. With only 28 employees, the organization functions as a small cohesive team where trust is embedded by proximity. Executive promotions from within (Colligan to CFO/COO, CTO hire) suggest intentional team building. However, the small size makes trust assessment less meaningful — no specific employee sentiment or retention data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Dynex's competitive language focuses on its 'disciplined' approach to leverage versus larger peers like AGNC and Annaly, implicitly positioning competitors as less disciplined rather than acknowledging their strengths in scale, financing costs, or portfolio diversification [1]. No evidence of management commentary that references learning from rivals or frames competition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Dynex has operated the same leveraged agency MBS REIT business model for over 33 years with no transformative strategic pivot [1]. While the company has adjusted portfolio mix (reducing non-agency exposure), leverage ratios, and duration positioning across rate cycles, these are tactical portfolio decisions within the same business model, not existential reinventions. The co-CEO structure and CTO hire represent incremental organizational evolution. The business has never faced a moment requiring abandonment of its core model in service of a broader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Byron Boston navigated Dynex through the 2022-2024 rate hiking cycle — the most hostile environment for mREITs in decades — by maintaining dividend payments (with incremental reductions rather than elimination) even as book value declined from ~$18 to ~$12 [1][3]. The co-CEO promotion sharing power with Popenoe was a forward-looking organizational investment. However, capital allocation remains fundamentally reactive to rate environments rather than proactively building long-term capability — the company does not invest through downturns in the way Sinek's framework rewards.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Dynex Capital at $10.84 offers an 18.8% dividend yield with trailing P/E of 3.75x backed by 33 consecutive years of dividend payments. Trailing EPS of $2.89 supports the $2.04 annualized dividend at a 70.6% payout ratio, and the recent raise from $0.13 to $0.17/month (31% increase) signals management confidence in distributable earnings [1][4]. ROE of 18.2% demonstrates effective capital deployment in agency MBS, and the co-CEO leadership of Byron Boston (12-year tenure) and Smriti Popenoe (capital markets expertise from Wachovia and Freddie Mac) provides experienced stewardship [2]. Forward P/E of 7.0x reflects deep value relative to the income stream, and a potential Fed rate-cutting cycle could compress agency MBS spreads and drive book value recovery from current depressed levels.</w:t>
      </w:r>
    </w:p>
    <w:p>
      <w:pPr>
        <w:spacing w:after="120"/>
      </w:pPr>
      <w:r>
        <w:rPr>
          <w:rFonts w:ascii="Calibri" w:hAnsi="Calibri"/>
          <w:b w:val="0"/>
          <w:color w:val="3A4A28"/>
          <w:sz w:val="20"/>
        </w:rPr>
        <w:t>The bear case centers on structural fragility and deteriorating fundamentals. The stock has declined 27% from its 52-week high of $14.93, and forward EPS of $1.54 versus trailing $2.89 implies a 47% earnings decline — at the forward rate, the $2.04 annualized dividend represents a 132% payout ratio, creating significant cut risk [4]. D/E of 713% (7-8x leverage) means Dynex's book value is acutely sensitive to interest rate movements — the 2022-2024 hiking cycle destroyed 33% of book value from ~$18 to ~$12 per share [1]. The dividend history shows instability despite the long payment streak: annual dividends declined from $1.66 in 2020 to $1.56 in 2021, flat through 2023, then fell to $1.45 in 2024 before recovering to $1.98 in 2025. With 28 employees managing billions in leveraged assets, key person risk is extreme — departure of either co-CEO would materially impact operations. The IOWN framework heavily penalizes DX's lack of innovation (score 1/10), weak mission (2/10), and finite game orientation (3/10), resulting in an overall score that reflects the commodity nature of the business despite attractive yield characteristics.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Federal Reserve rate cutting cycle compressing agency MBS spreads, driving book value recovery and expanding net interest margin to support distributable earnings growth from the current $2.89 trailing EPS [1][4]</w:t>
      </w:r>
    </w:p>
    <w:p>
      <w:pPr>
        <w:spacing w:before="40" w:after="40"/>
        <w:ind w:left="283"/>
      </w:pPr>
      <w:r>
        <w:rPr>
          <w:rFonts w:ascii="Calibri" w:hAnsi="Calibri"/>
          <w:b/>
          <w:color w:val="4A6B25"/>
          <w:sz w:val="20"/>
        </w:rPr>
        <w:t xml:space="preserve">2. </w:t>
      </w:r>
      <w:r>
        <w:rPr>
          <w:rFonts w:ascii="Calibri" w:hAnsi="Calibri"/>
          <w:b w:val="0"/>
          <w:color w:val="3A4A28"/>
          <w:sz w:val="20"/>
        </w:rPr>
        <w:t>Monthly dividend raised 31% from $0.13 to $0.17 ($2.04 annualized, 18.8% yield), with potential for further increases if spread environment improves and forward EPS stabilizes above the dividend rate [4]</w:t>
      </w:r>
    </w:p>
    <w:p>
      <w:pPr>
        <w:spacing w:before="40" w:after="40"/>
        <w:ind w:left="283"/>
      </w:pPr>
      <w:r>
        <w:rPr>
          <w:rFonts w:ascii="Calibri" w:hAnsi="Calibri"/>
          <w:b/>
          <w:color w:val="4A6B25"/>
          <w:sz w:val="20"/>
        </w:rPr>
        <w:t xml:space="preserve">3. </w:t>
      </w:r>
      <w:r>
        <w:rPr>
          <w:rFonts w:ascii="Calibri" w:hAnsi="Calibri"/>
          <w:b w:val="0"/>
          <w:color w:val="3A4A28"/>
          <w:sz w:val="20"/>
        </w:rPr>
        <w:t>Co-CEO succession model with Byron Boston and Smriti Popenoe providing complementary leadership continuity — Boston's strategic vision and Popenoe's 30+ years of capital markets expertise position the portfolio for rate cycle transitions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EPS of $1.54 implies 47% earnings compression versus trailing $2.89, making the $2.04 annualized dividend unsustainable at a 132% forward payout ratio and creating material dividend cut risk that would trigger significant price decline in a yield-focused shareholder base [4]</w:t>
      </w:r>
    </w:p>
    <w:p>
      <w:pPr>
        <w:spacing w:before="40" w:after="40"/>
        <w:ind w:left="283"/>
      </w:pPr>
      <w:r>
        <w:rPr>
          <w:rFonts w:ascii="Calibri" w:hAnsi="Calibri"/>
          <w:b/>
          <w:color w:val="4A6B25"/>
          <w:sz w:val="20"/>
        </w:rPr>
        <w:t xml:space="preserve">2. </w:t>
      </w:r>
      <w:r>
        <w:rPr>
          <w:rFonts w:ascii="Calibri" w:hAnsi="Calibri"/>
          <w:b w:val="0"/>
          <w:color w:val="3A4A28"/>
          <w:sz w:val="20"/>
        </w:rPr>
        <w:t>Leverage of 7.1x D/E amplifies interest rate risk — a 100bp unexpected rate spike could reduce book value by 10-15%, repeating the 2022-2024 pattern that destroyed 33% of book value during the hiking cycle [1]</w:t>
      </w:r>
    </w:p>
    <w:p>
      <w:pPr>
        <w:spacing w:before="40" w:after="40"/>
        <w:ind w:left="283"/>
      </w:pPr>
      <w:r>
        <w:rPr>
          <w:rFonts w:ascii="Calibri" w:hAnsi="Calibri"/>
          <w:b/>
          <w:color w:val="4A6B25"/>
          <w:sz w:val="20"/>
        </w:rPr>
        <w:t xml:space="preserve">3. </w:t>
      </w:r>
      <w:r>
        <w:rPr>
          <w:rFonts w:ascii="Calibri" w:hAnsi="Calibri"/>
          <w:b w:val="0"/>
          <w:color w:val="3A4A28"/>
          <w:sz w:val="20"/>
        </w:rPr>
        <w:t>Concentrated key person risk with only 28 employees managing a multi-billion-dollar leveraged MBS portfolio — departure of either co-CEO or the recently hired CTO/CRO would materially disrupt operations and investor confidence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Dynex Capital's core business — deploying capital in agency MBS markets using leveraged repo financing — is structurally protected from AI disruption because it requires (1) billions in actual capital, (2) REIT tax qualification and 90%+ distribution compliance, (3) prime broker repo financing relationships, and (4) regulatory infrastructure that AI cannot substitute for [1][4]. Agency MBS backed by U.S. government-sponsored entities involve physical-world financial infrastructure — you need capital and regulatory status to participate, regardless of AI capability. AI tools may improve analytics and risk management but cannot displace the fundamental capital allocation function. Falls short of IMMUNE because AI-driven algorithmic trading already competes in fixed-income markets and could compress the net interest margin spreads that all mREITs depend on, and AI-enhanced competitors could replicate Dynex's analytical capabilities with smaller teams. AI Opportunity (0/1): No AI-related revenue; the company has 28 employees and does not develop or sell AI products or services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21</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Dynex Capital Q1-Q2 2026 Earnings — Revenue $502M TTM, EPS $2.89 Trailing, Forward EPS $1.54, Leverage 7-8x — SEC Filings and Earnings Trackers, 2026</w:t>
      </w:r>
    </w:p>
    <w:p>
      <w:pPr>
        <w:spacing w:before="20" w:after="20"/>
        <w:ind w:left="170"/>
      </w:pPr>
      <w:r>
        <w:rPr>
          <w:rFonts w:ascii="Calibri" w:hAnsi="Calibri"/>
          <w:b/>
          <w:color w:val="4A6B25"/>
          <w:sz w:val="15"/>
        </w:rPr>
        <w:t xml:space="preserve">2. </w:t>
      </w:r>
      <w:r>
        <w:rPr>
          <w:rFonts w:ascii="Calibri" w:hAnsi="Calibri"/>
          <w:b w:val="0"/>
          <w:color w:val="3A4A28"/>
          <w:sz w:val="17"/>
        </w:rPr>
        <w:t>Dynex Capital Leadership — Co-CEO Promotion of Smriti Popenoe, Byron Boston Chairman/Co-CEO, CTO Hire Harman Sahni — BusinessWire, July 2024; SimplyWallSt Management Data</w:t>
      </w:r>
    </w:p>
    <w:p>
      <w:pPr>
        <w:spacing w:before="20" w:after="20"/>
        <w:ind w:left="170"/>
      </w:pPr>
      <w:r>
        <w:rPr>
          <w:rFonts w:ascii="Calibri" w:hAnsi="Calibri"/>
          <w:b/>
          <w:color w:val="4A6B25"/>
          <w:sz w:val="15"/>
        </w:rPr>
        <w:t xml:space="preserve">3. </w:t>
      </w:r>
      <w:r>
        <w:rPr>
          <w:rFonts w:ascii="Calibri" w:hAnsi="Calibri"/>
          <w:b w:val="0"/>
          <w:color w:val="3A4A28"/>
          <w:sz w:val="17"/>
        </w:rPr>
        <w:t>Dynex Capital 10-K FY2023 — ESG Disclosures, SASB Framework Adoption, Corporate Giving Programs, 33-Year Dividend History — SEC Filing</w:t>
      </w:r>
    </w:p>
    <w:p>
      <w:pPr>
        <w:spacing w:before="20" w:after="20"/>
        <w:ind w:left="170"/>
      </w:pPr>
      <w:r>
        <w:rPr>
          <w:rFonts w:ascii="Calibri" w:hAnsi="Calibri"/>
          <w:b/>
          <w:color w:val="4A6B25"/>
          <w:sz w:val="15"/>
        </w:rPr>
        <w:t xml:space="preserve">4. </w:t>
      </w:r>
      <w:r>
        <w:rPr>
          <w:rFonts w:ascii="Calibri" w:hAnsi="Calibri"/>
          <w:b w:val="0"/>
          <w:color w:val="3A4A28"/>
          <w:sz w:val="17"/>
        </w:rPr>
        <w:t>Yahoo Finance — DX Key Statistics, Price $10.84, D/E 713.5%, ROE 18.2%, Forward PE 7.04, Dividend History —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