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EBC</w:t>
      </w:r>
      <w:r>
        <w:rPr>
          <w:rFonts w:ascii="Calibri" w:hAnsi="Calibri"/>
          <w:b/>
          <w:color w:val="1A2010"/>
          <w:sz w:val="40"/>
        </w:rPr>
        <w:t xml:space="preserve">  Eastern Bankshares, Inc.</w:t>
      </w:r>
    </w:p>
    <w:p>
      <w:pPr>
        <w:spacing w:after="120"/>
      </w:pPr>
      <w:r>
        <w:rPr>
          <w:rFonts w:ascii="Calibri" w:hAnsi="Calibri"/>
          <w:b/>
          <w:color w:val="6E8450"/>
          <w:sz w:val="18"/>
        </w:rPr>
        <w:t>DIVIDEND SLEEVE · 2026-09-12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Banks - Regional · NASDAQ · United States</w:t>
      </w:r>
    </w:p>
    <w:p>
      <w:pPr>
        <w:spacing w:after="80"/>
      </w:pPr>
      <w:r>
        <w:rPr>
          <w:rFonts w:ascii="Calibri" w:hAnsi="Calibri"/>
          <w:b w:val="0"/>
          <w:color w:val="3A4A28"/>
          <w:sz w:val="20"/>
        </w:rPr>
        <w:t>Eastern Bankshares is the bank holding company for Eastern Bank, founded in 1818 in Salem, Massachusetts and the largest mutual bank in the U.S. before converting to public stock form in 2020. Eastern provides banking, trust, investment, and wealth management services to retail, commercial, and small-business customers across Massachusetts, New Hampshire, and Rhode Island. The HarborOne Bancorp acquisition (closed November 2025) created a ~$30B-asset institution. Q2 2026 total revenue of $309.5M (+24.2% YoY) with net income of $105.2M and operating net income growing approximately 30% YoY as HarborOne cost synergies materialize.</w:t>
      </w:r>
    </w:p>
    <w:p>
      <w:r>
        <w:rPr>
          <w:rFonts w:ascii="Calibri" w:hAnsi="Calibri"/>
          <w:b/>
          <w:color w:val="6E8450"/>
          <w:sz w:val="18"/>
        </w:rPr>
        <w:t>2,450 Employees · https://www.easternbank.com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HarborOne Bancorp acquisition, closed November 2025, nearly doubled Eastern's asset base to ~$30B and expanded into Rhode Island — a significant, market-expanding transaction now delivering results with operating net income growing 20-30% YoY as cost synergies from the February 2026 core system conversion materialize [1][3]. However, this is M&amp;A-driven consolidation rather than organic product innovation. AI Deployment (0/2): No AI-powered product or internally quantified AI-driven savings specific to Eastern Bankshares was identified, in contrast to peer regional banks that have disclosed specific AI initiatives for underwriting automation and call-center operations [5]. Market Share (1/2): Post-merger, Eastern is the largest community bank in Massachusetts with ~$30B in assets, a meaningful regional leadership position strengthened by the HarborOne integration, though not a national-scale player. Product Pipeline (0/2): No specific next-generation product roadmap with dated targets was found; the focus remains on HarborOne integration and cost synergy realization rather than new product development. The appointment of a new Chief People Officer in 2026 signals organizational maturation but not product innovation [6]. R&amp;D Intensity (0/1): Not disclosed; not a typical metric for a community bank.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Eastern's mission — to 'invest in its customers, communities and colleagues to help them prosper and grow' — is validated by over 208 years of continuous operation since 1818 and by the extraordinary decision at its 2020 IPO to gift the Eastern Bank Charitable Foundation a 4% equity stake in the newly public company, permanently embedding the mission into the capital structure [4]. This is Sinek's definition of a purpose validated by decades of consistent execution. Community Impact (2/2): The Eastern Bank Charitable Foundation has contributed $240 million in cumulative charitable giving since 1994, with annual community support recently reaching an all-time high of over $22 million [4]. The bank has been called 'the most ESG-focused bank ever to hit the public market,' with specific focus on social justice, environmental sustainability, and economic development in underserved communities. Employee Retention (0/2): No specific tenure or voluntary-turnover data was found despite searching. The appointment of Jennifer Wambold as Chief People Officer in 2026 signals leadership commitment to workforce culture, but measurable outcomes are not yet available [6]. Insider Buying (0/2): No specific insider buying transaction data was identified for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D/E is excluded as not meaningfully disclosed for a bank holding company mid-integration. ROE of ~8.7% trails the 15% target, though Q2 2026 operating return on average tangible common equity is stronger (~12-13%), depressed by residual HarborOne merger amortization [1][3]. Revenue grew 24.2% YoY to $309.5M in Q2 2026, well above the 10% target, though this remains substantially merger-driven with organic loan growth guided at 3-5% [1]. Forward P/E of ~11.7x is comfortably inside the 20x target, and profit margin of ~34% ($105.2M net income / $309.5M revenue) exceeds the 20% target — among the highest in the regional banking peer group [1][3]. On dividend metrics: payout ratio of ~42% on an operating basis is modestly above the 40% target; consecutive years paid is approximately 5 years (post-2020 IPO), below the 10-year target; the dividend was raised 8% in 2025 and 15% in Q1 2026, giving 2 consecutive years of growth and an estimated ~8% five-year dividend growth CAGR, above the 6% target [3][4]. Liquidity not a constraint: ~2.4M avg daily volume × $23 ≈ $55M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Eastern Bankshares is one of the strongest infinite-game players in this screening universe. Its 208-year community-banking mission — 'invest in customers, communities and colleagues to help them prosper' — has been tested across the Civil War, two World Wars, the Great Depression, the 2008 financial crisis, and the 2020 conversion from the largest U.S. mutual bank to a public company. Management chose to preserve the mission's institutional weight by gifting the Charitable Foundation a 4% equity stake rather than fully monetizing the conversion, a genuinely costly and unusual choice that embeds purpose into the capital structure. The HarborOne merger reflects existential flexibility in service of the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Eastern's mission has been lived out since 1818, surviving the 2008 financial crisis, the 2020 conversion from the largest U.S. mutual bank to a public company, and the transformative HarborOne integration, with $240 million in cumulative charitable giving since 1994 and a permanent 4% Foundation equity stake preserved through the IPO — a rare example where a Just Cause materially shaped a capital-structure decision worth hundreds of millions of dollars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under CEO Denis Sheahan emphasized 'a smooth transition for customers and community partners' and a 'deep commitment to colleague development' during the HarborOne integration, with former HarborOne leaders added to Eastern's board to preserve institutional knowledge [3]. The 2026 appointment of a Chief People Officer (Jennifer Wambold, 30 years HR experience) signals commitment to aligning culture with data-driven workforce strategy [6]. However, no hard employee-tenure or turnover data was found to confirm a standout high-trust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Eastern management publicly framing competitors (Citizens, Rockland Trust, Webster) as a source of self-improvement motivation. The competitive narrative focuses on Eastern's community-banking differentiation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Abandoning 200 years of mutual-ownership structure for public stock form in 2020, followed by the transformative HarborOne merger nearly doubling assets to ~$30B and expanding into Rhode Island, represents a genuine, cause-driven reinvention of the institution's scale and structure [3]. This was not a desperation move but a purposeful evolution to ensure the community-banking mission could compete at scale in a consolidating industry — precisely the kind of bold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Converting a 200-year-old mutual institution to public stock form in 2020 while gifting away a 4% equity stake to the Charitable Foundation ($240M+ in cumulative giving), then pursuing the transformative $490M HarborOne acquisition to scale the community-banking mission to ~$30B in assets, together represent a genuine pattern of costly, long-term-oriented decisions that prioritize mission over near-term shareholder maximization [3][4]. The 15% dividend increase in Q1 2026 during integration execution shows confidence in the combined entity's earnings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Eastern Bankshares delivered Q2 2026 revenue of $309.5M (+24.2% YoY) with operating net income growing approximately 30% YoY as HarborOne cost synergies from the February 2026 core system conversion materialize, demonstrating the earnings power of the combined ~$30B-asset institution [1]. The 208-year-old community bank's mission-driven capital structure — including a permanent 4% equity stake gifted to the Charitable Foundation at its 2020 IPO and $240M in cumulative charitable giving — combined with 8% and 15% consecutive dividend increases in 2025 and Q1 2026, reflects genuine long-term conviction [4]. Profit margin of ~34% (top decile for regional banks) and forward P/E of ~11.7x offer reasonable valuation for a well-capitalized bank now realizing integration synergies [3]. The Infinite Game score of 8/10 reflects one of the strongest purpose-driven organizational profiles in the screening universe.</w:t>
      </w:r>
    </w:p>
    <w:p>
      <w:pPr>
        <w:spacing w:after="120"/>
      </w:pPr>
      <w:r>
        <w:rPr>
          <w:rFonts w:ascii="Calibri" w:hAnsi="Calibri"/>
          <w:b w:val="0"/>
          <w:color w:val="3A4A28"/>
          <w:sz w:val="20"/>
        </w:rPr>
        <w:t>The near-term risk centers on post-merger execution and structural AI disruption. While Q2 2026 operating income grew 30%, GAAP EPS of $0.48 declined 4% YoY from $0.50 as merger-related amortization and higher expenses offset revenue growth, and organic loan growth guidance of 3-5% is far more modest than the merger-inflated 24% revenue growth headline [1]. ROE of ~8.7% remains below the 15% Infrastructure target as integration costs work through the numbers. Eastern faces the same structural AI/fintech disruption documented across regional banking — AI-native lenders and automated underwriting are compressing economics of small-business lending and back-office functions, and Eastern has not disclosed specific AI initiatives, unlike larger peers reporting 40-60% efficiency gains from AI deployment [5]. Only ~5 years of dividend payment history as a public company leaves EBC below the 10-year Infrastructure target. The Inspire Impact Score of -67 (MISALIGNED), driven by the bank's social justice philanthropy positions on abortion and LGBT issues, will limit allocation for faith-based investors despite the institution's extraordinary charitable record.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realization of HarborOne cost synergies continuing to lift operating ROE toward the 12-13% operating ROATCE level, with record operating net income growth of 20-30% YoY demonstrating the earnings power of the $30B combined franchise [1][3]</w:t>
      </w:r>
    </w:p>
    <w:p>
      <w:pPr>
        <w:spacing w:before="40" w:after="40"/>
        <w:ind w:left="283"/>
      </w:pPr>
      <w:r>
        <w:rPr>
          <w:rFonts w:ascii="Calibri" w:hAnsi="Calibri"/>
          <w:b/>
          <w:color w:val="4A6B25"/>
          <w:sz w:val="20"/>
        </w:rPr>
        <w:t xml:space="preserve">2. </w:t>
      </w:r>
      <w:r>
        <w:rPr>
          <w:rFonts w:ascii="Calibri" w:hAnsi="Calibri"/>
          <w:b w:val="0"/>
          <w:color w:val="3A4A28"/>
          <w:sz w:val="20"/>
        </w:rPr>
        <w:t>Continued double-digit dividend growth trajectory (8% in 2025, 15% in Q1 2026) building consecutive-years-of-growth toward the 10-year Infrastructure target, supported by a sustainable ~42% payout ratio and strengthening earnings [3][4]</w:t>
      </w:r>
    </w:p>
    <w:p>
      <w:pPr>
        <w:spacing w:before="40" w:after="40"/>
        <w:ind w:left="283"/>
      </w:pPr>
      <w:r>
        <w:rPr>
          <w:rFonts w:ascii="Calibri" w:hAnsi="Calibri"/>
          <w:b/>
          <w:color w:val="4A6B25"/>
          <w:sz w:val="20"/>
        </w:rPr>
        <w:t xml:space="preserve">3. </w:t>
      </w:r>
      <w:r>
        <w:rPr>
          <w:rFonts w:ascii="Calibri" w:hAnsi="Calibri"/>
          <w:b w:val="0"/>
          <w:color w:val="3A4A28"/>
          <w:sz w:val="20"/>
        </w:rPr>
        <w:t>Deployment of AI-enabled underwriting or digital banking capabilities, following peer bank efficiency patterns, which would address the currently unscored AI Opportunity component and improve the efficiency ratio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EPS declined 4% YoY to $0.48 despite 30% operating income growth, as merger-related amortization and integration expenses compress near-term earnings — organic loan growth of 3-5% is far more modest than the 24% merger-inflated revenue headline [1]</w:t>
      </w:r>
    </w:p>
    <w:p>
      <w:pPr>
        <w:spacing w:before="40" w:after="40"/>
        <w:ind w:left="283"/>
      </w:pPr>
      <w:r>
        <w:rPr>
          <w:rFonts w:ascii="Calibri" w:hAnsi="Calibri"/>
          <w:b/>
          <w:color w:val="4A6B25"/>
          <w:sz w:val="20"/>
        </w:rPr>
        <w:t xml:space="preserve">2. </w:t>
      </w:r>
      <w:r>
        <w:rPr>
          <w:rFonts w:ascii="Calibri" w:hAnsi="Calibri"/>
          <w:b w:val="0"/>
          <w:color w:val="3A4A28"/>
          <w:sz w:val="20"/>
        </w:rPr>
        <w:t>No disclosed AI strategy or digital innovation roadmap leaves Eastern behind peer regional banks reporting 40-60% efficiency gains from AI-enhanced underwriting and back-office automation, creating a widening technology gap [5]</w:t>
      </w:r>
    </w:p>
    <w:p>
      <w:pPr>
        <w:spacing w:before="40" w:after="40"/>
        <w:ind w:left="283"/>
      </w:pPr>
      <w:r>
        <w:rPr>
          <w:rFonts w:ascii="Calibri" w:hAnsi="Calibri"/>
          <w:b/>
          <w:color w:val="4A6B25"/>
          <w:sz w:val="20"/>
        </w:rPr>
        <w:t xml:space="preserve">3. </w:t>
      </w:r>
      <w:r>
        <w:rPr>
          <w:rFonts w:ascii="Calibri" w:hAnsi="Calibri"/>
          <w:b w:val="0"/>
          <w:color w:val="3A4A28"/>
          <w:sz w:val="20"/>
        </w:rPr>
        <w:t>Only ~5 years of dividend history as a public company (post-2020 conversion) leaves the consecutive-years-paid metric below the 10-year Infrastructure target, and the Inspire Impact Score of -67 (MISALIGNED) limits faith-based investor allocation despite $240M in charitable giving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Regional banks face real, analyst-documented AI disruption risk — peer institutions report 40-60% reductions in analyst time per commercial loan from AI-enhanced underwriting, agentic AI is handling a rising share of back-office and call-center work at scale players, and AI-native fintechs are competing directly for small-business lending and payments share that community banks traditionally held [5]. Eastern's 208-year relationship-banking model, deep community deposit franchise, and regulatory/compliance moats provide meaningful but not complete protection. The bank has not disclosed specific AI initiatives, placing it behind peers in technology adoption. AI Opportunity (0/1): No AI-specific product or quantified AI-driven revenue was disclosed for Eastern Bankshares. The appointment of a Chief People Officer suggests organizational focus on talent and culture rather than technology innovation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Eastern Bankshares Q2 2026 Earnings — Revenue $309.5M (+24.2%), Net Income $105.2M, EPS $0.48, Operating NI Growth ~30% YoY, TradingView / Yahoo Finance / GuruFocus, July 2026</w:t>
      </w:r>
    </w:p>
    <w:p>
      <w:pPr>
        <w:spacing w:before="20" w:after="20"/>
        <w:ind w:left="170"/>
      </w:pPr>
      <w:r>
        <w:rPr>
          <w:rFonts w:ascii="Calibri" w:hAnsi="Calibri"/>
          <w:b/>
          <w:color w:val="4A6B25"/>
          <w:sz w:val="15"/>
        </w:rPr>
        <w:t xml:space="preserve">2. </w:t>
      </w:r>
      <w:r>
        <w:rPr>
          <w:rFonts w:ascii="Calibri" w:hAnsi="Calibri"/>
          <w:b w:val="0"/>
          <w:color w:val="3A4A28"/>
          <w:sz w:val="17"/>
        </w:rPr>
        <w:t>Eastern Bankshares Q1 2026 Earnings — Operating Income +31% YoY, Integration Synergies Materializing, Yahoo Finance, April 2026</w:t>
      </w:r>
    </w:p>
    <w:p>
      <w:pPr>
        <w:spacing w:before="20" w:after="20"/>
        <w:ind w:left="170"/>
      </w:pPr>
      <w:r>
        <w:rPr>
          <w:rFonts w:ascii="Calibri" w:hAnsi="Calibri"/>
          <w:b/>
          <w:color w:val="4A6B25"/>
          <w:sz w:val="15"/>
        </w:rPr>
        <w:t xml:space="preserve">3. </w:t>
      </w:r>
      <w:r>
        <w:rPr>
          <w:rFonts w:ascii="Calibri" w:hAnsi="Calibri"/>
          <w:b w:val="0"/>
          <w:color w:val="3A4A28"/>
          <w:sz w:val="17"/>
        </w:rPr>
        <w:t>HarborOne Bancorp Merger Integration — Core System Conversion February 2026, ~$30B Combined Assets, Cost Synergies, SEC Filings / Businesswire, November 2025-2026</w:t>
      </w:r>
    </w:p>
    <w:p>
      <w:pPr>
        <w:spacing w:before="20" w:after="20"/>
        <w:ind w:left="170"/>
      </w:pPr>
      <w:r>
        <w:rPr>
          <w:rFonts w:ascii="Calibri" w:hAnsi="Calibri"/>
          <w:b/>
          <w:color w:val="4A6B25"/>
          <w:sz w:val="15"/>
        </w:rPr>
        <w:t xml:space="preserve">4. </w:t>
      </w:r>
      <w:r>
        <w:rPr>
          <w:rFonts w:ascii="Calibri" w:hAnsi="Calibri"/>
          <w:b w:val="0"/>
          <w:color w:val="3A4A28"/>
          <w:sz w:val="17"/>
        </w:rPr>
        <w:t>Eastern Bank Charitable Foundation — $240M Cumulative Giving, 4% Equity Stake, Annual Community Support $22M+ Record, easternbank.com</w:t>
      </w:r>
    </w:p>
    <w:p>
      <w:pPr>
        <w:spacing w:before="20" w:after="20"/>
        <w:ind w:left="170"/>
      </w:pPr>
      <w:r>
        <w:rPr>
          <w:rFonts w:ascii="Calibri" w:hAnsi="Calibri"/>
          <w:b/>
          <w:color w:val="4A6B25"/>
          <w:sz w:val="15"/>
        </w:rPr>
        <w:t xml:space="preserve">5. </w:t>
      </w:r>
      <w:r>
        <w:rPr>
          <w:rFonts w:ascii="Calibri" w:hAnsi="Calibri"/>
          <w:b w:val="0"/>
          <w:color w:val="3A4A28"/>
          <w:sz w:val="17"/>
        </w:rPr>
        <w:t>ABA Banking Journal, Bank Director — Regional Bank AI Disruption Risk, AI-Native Fintech Competition, 40-60% Underwriting Efficiency Gains, 2026</w:t>
      </w:r>
    </w:p>
    <w:p>
      <w:pPr>
        <w:spacing w:before="20" w:after="20"/>
        <w:ind w:left="170"/>
      </w:pPr>
      <w:r>
        <w:rPr>
          <w:rFonts w:ascii="Calibri" w:hAnsi="Calibri"/>
          <w:b/>
          <w:color w:val="4A6B25"/>
          <w:sz w:val="15"/>
        </w:rPr>
        <w:t xml:space="preserve">6. </w:t>
      </w:r>
      <w:r>
        <w:rPr>
          <w:rFonts w:ascii="Calibri" w:hAnsi="Calibri"/>
          <w:b w:val="0"/>
          <w:color w:val="3A4A28"/>
          <w:sz w:val="17"/>
        </w:rPr>
        <w:t>Eastern Bankshares Chief People Officer Appointment (Jennifer Wambold) and Leadership Stability Analysis — Simply Wall St, 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Yahoo Finance — EBC Key Statistics: Forward P/E 11.65x, ROE 8.7%, Profit Margin 34%, Dividend Yield 2.61%,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