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ECC</w:t>
      </w:r>
      <w:r>
        <w:rPr>
          <w:rFonts w:ascii="Calibri" w:hAnsi="Calibri"/>
          <w:b/>
          <w:color w:val="1A2010"/>
          <w:sz w:val="40"/>
        </w:rPr>
        <w:t xml:space="preserve">  Eagle Point Credit Company Inc.</w:t>
      </w:r>
    </w:p>
    <w:p>
      <w:pPr>
        <w:spacing w:after="120"/>
      </w:pPr>
      <w:r>
        <w:rPr>
          <w:rFonts w:ascii="Calibri" w:hAnsi="Calibri"/>
          <w:b/>
          <w:color w:val="6E8450"/>
          <w:sz w:val="18"/>
        </w:rPr>
        <w:t>DIVIDEND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Asset Management · NYSE · United States</w:t>
      </w:r>
    </w:p>
    <w:p>
      <w:pPr>
        <w:spacing w:after="80"/>
      </w:pPr>
      <w:r>
        <w:rPr>
          <w:rFonts w:ascii="Calibri" w:hAnsi="Calibri"/>
          <w:b w:val="0"/>
          <w:color w:val="3A4A28"/>
          <w:sz w:val="20"/>
        </w:rPr>
        <w:t>Eagle Point Credit Company is an externally managed, non-diversified closed-end fund that invests primarily in equity and junior debt tranches of collateralized loan obligations (CLOs) consisting of below investment-grade U.S. senior secured loans. Managed by Eagle Point Credit Management LLC, the fund reported Q1 2026 NAV of $4.17/share, down 26.8% from year-end, with total investment income of $42.4M. The stock has declined approximately 50% over the past 52 weeks amid CLO market dislocation. Market cap is approximately $505M.</w:t>
      </w:r>
    </w:p>
    <w:p>
      <w:r>
        <w:rPr>
          <w:rFonts w:ascii="Calibri" w:hAnsi="Calibri"/>
          <w:b/>
          <w:color w:val="6E8450"/>
          <w:sz w:val="18"/>
        </w:rPr>
        <w:t>25 Employees · https://www.eaglepointcreditcompany.com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Eagle Point Credit has not executed any product launches, market pivots, or business model transformations — it is a single-strategy CLO equity fund that has operated with the same investment mandate since its 2014 IPO [1]. The fund does not develop new products; it deploys capital into CLO equity tranches using a consistent methodology. AI Deployment (0/2): No AI-powered products or quantified AI-driven efficiency gains were identified. Mountain Point Credit, an affiliated entity, has a software engineer working on AI tools, but no measurable results have been disclosed for the fund itself [2]. Market Share (1/2): ECC is one of the largest publicly traded vehicles focused exclusively on CLO equity, with approximately $505M market cap and $551M in net assets, making it a meaningful participant in the niche CLO equity space alongside competitors like Oxford Lane Capital (OXLC) [1]. Product Pipeline (0/2): The fund has no product pipeline — its mandate is fixed (CLO equity and junior debt tranches) with no next-generation products or strategic expansion announced. R&amp;D Intensity (0/1): Not applicable to a closed-end investment fund. No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Eagle Point Credit Company's stated objective is to 'generate high current income, with a secondary objective to generate capital appreciation' — a purely financial purpose with no articulation of why the company exists beyond delivering returns [1]. There is no mission, vision, or purpose statement on the company's website that connects its work to a larger societal benefit. This is a financial vehicle, not a purpose-driven enterprise. Community Impact (0/2): No evidence of charitable giving, community programs, or social investment was identified. The fund is an externally managed financial vehicle with no community engagement footprint. Employee Retention (0/2): ECC is externally managed by Eagle Point Credit Management LLC, a small specialized firm. No employee retention, tenure, or cultural data is available for either the fund or the external manager. Insider Buying (0/2): No evidence of meaningful net insider buying by CEO Thomas Majewski or other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core metrics unavailable for this CLO closed-end fund. D/E of 58% reflects structural fund leverage ($318M debt against ~$551M net assets) and scores well against the 70% target [3]. However, ROE of -18.07% (driven by Q1 2026 NAV decline of 26.8% from CLO market dislocation) scores 0, and GAAP profit margin of -83.95% (reflecting unrealized mark-to-market losses on CLO equity tranches) also scores 0 [1]. On dividend metrics, consecutive years paid (12 years since 2014 IPO) scores perfectly at 2x weight, but consecutive years of dividend growth scores 0 following the distribution cut from $0.14/month to $0.06/month, and the estimated 5-year dividend growth CAGR is deeply negative (~-16%) reflecting progressive distribution reductions [3]. Payout ratio of approximately 90% (based on $0.72 annual distribution vs. ~$0.80 NII) scores poorly against the 40% target. Forward P/E and revenue growth metrics are not applicable to a CLO equity fund in the standard sense. Liquidity floor is cleared with ~$4.4M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Eagle Point Credit is a quintessentially finite-game entity — a closed-end fund with a fixed investment mandate, externally managed, existing solely to generate financial returns for shareholders. There is no Just Cause, no mission beyond income generation, no evidence of courageous long-term decisions, and no existential flexibility given the fund's fixed CLO equity mandate. CEO Thomas Majewski has led the fund since inception (2014), providing stability, but the organization's purpose begins and ends with CLO equity returns. The 50% stock price decline and dividend cut from $0.14/month to $0.06/month in 2026 reflect the vulnerability of a single-strategy vehicle to market dislocation.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Eagle Point Credit exists to 'generate high current income with a secondary objective of capital appreciation' — this is a financial objective, not a Just Cause [1]. There is no articulated vision of a better future, no purpose beyond investor returns. The fund does not serve a broader societal need and does not pretend to. It is a financial vehicle, and by Sinek's framework, this is the defining characteristic of a finite player.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Eagle Point Credit Management LLC, the external manager, is led by founder CEO Thomas Majewski, who has been at the helm since the 2014 IPO, providing leadership continuity [2]. The management team includes experienced professionals from major financial institutions (GIP Credit, Royal Bank of Scotland). However, as an externally managed fund with a small team (~25 people), there is insufficient public data on employee empowerment, turnover, or organizational culture to assess trust beyond basic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Eagle Point Credit acknowledging competitors' strengths or framing competition as a learning opportunity. The fund competes with Oxford Lane Capital (OXLC) and other CLO equity vehicles primarily on yield and NAV performance, a zero-sum framing typical of asset management competition.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Eagle Point Credit has a fixed investment mandate — CLO equity and junior debt tranches — established at inception and unchanged since the 2014 IPO [1]. The fund structure and regulatory requirements limit its ability to pivot to new asset classes or strategies. This rigidity is structural rather than a leadership choice, but it means the fund cannot adapt if CLO equity as an asset class faces secular decline.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courageous long-term decisions that sacrifice near-term results for future capability. The dividend cut from $0.14/month to $0.06/month in 2026 was a forced response to declining NII and NAV erosion, not a proactive strategic decision [1]. The fund's investment decisions follow established CLO equity parameters without evidence of bold contrarian positioning or willingness to accept short-term pain for long-term gain.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Eagle Point Credit at $3.78 trades at a 9% discount to its March 2026 NAV of $4.17 (which rebounded to $4.49-$4.59 in April), offering potential NAV recovery upside alongside a forward dividend yield of approximately 19% ($0.06/month) [1]. Recurring cash flows of $0.47/share in Q1 2026 exceeded the combined common distributions and total expenses by $0.14/share, suggesting the reduced distribution level is sustainable and potentially positioned for a future increase if CLO market conditions normalize [1]. CLO equity tranches benefit from the structural leveraged return profile of CLO waterfalls, and the current dislocation in credit markets may represent a buying opportunity for contrarian investors willing to accept elevated volatility. The fund's 12-year track record of continuous distributions through multiple credit cycles (including COVID-19) demonstrates institutional durability.</w:t>
      </w:r>
    </w:p>
    <w:p>
      <w:pPr>
        <w:spacing w:after="120"/>
      </w:pPr>
      <w:r>
        <w:rPr>
          <w:rFonts w:ascii="Calibri" w:hAnsi="Calibri"/>
          <w:b w:val="0"/>
          <w:color w:val="3A4A28"/>
          <w:sz w:val="20"/>
        </w:rPr>
        <w:t>The bear case is severe and dominates the investment picture. NAV collapsed 26.8% in Q1 2026 alone, driving GAAP ROE to -18.07% and total return on equity to -20.2% for the quarter [1]. The stock has lost 50% of its value over the trailing 52 weeks, the dividend was cut by 57% (from $0.14 to $0.06/month), and the 5-year dividend growth CAGR is approximately -16% — this is a fund in secular distribution decline, not a temporary dip [3]. The GAAP profit margin of -83.95% reflects massive unrealized losses on CLO equity positions that may or may not recover. As a single-strategy CLO equity vehicle, ECC has no ability to pivot away from deteriorating CLO market conditions, and external management fees create a structural drag that compounds in adverse environments. The Innovation score of 1/10, Inspiration of 0/10, and Infinite Game of 1/10 reflect that this is a purely financial vehicle with no strategic differentiation, no purpose beyond income, and no flexibility to adapt. For IOWN's framework, which values purpose-driven businesses built to endure, a leveraged CLO equity fund in secular decline scores among the lowest in the universe.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 market normalization following Q1 2026 dislocation — April NAV already rebounded to $4.49-$4.59 from $4.17, suggesting the worst of the mark-to-market impact may have passed, with potential for further recovery [1]</w:t>
      </w:r>
    </w:p>
    <w:p>
      <w:pPr>
        <w:spacing w:before="40" w:after="40"/>
        <w:ind w:left="283"/>
      </w:pPr>
      <w:r>
        <w:rPr>
          <w:rFonts w:ascii="Calibri" w:hAnsi="Calibri"/>
          <w:b/>
          <w:color w:val="4A6B25"/>
          <w:sz w:val="20"/>
        </w:rPr>
        <w:t xml:space="preserve">2. </w:t>
      </w:r>
      <w:r>
        <w:rPr>
          <w:rFonts w:ascii="Calibri" w:hAnsi="Calibri"/>
          <w:b w:val="0"/>
          <w:color w:val="3A4A28"/>
          <w:sz w:val="20"/>
        </w:rPr>
        <w:t>Recurring cash flows of $0.47/share per quarter significantly exceed the $0.18/share quarterly distribution, providing a potential pathway to distribution increases if sustained over 2-3 consecutive quarters [1]</w:t>
      </w:r>
    </w:p>
    <w:p>
      <w:pPr>
        <w:spacing w:before="40" w:after="40"/>
        <w:ind w:left="283"/>
      </w:pPr>
      <w:r>
        <w:rPr>
          <w:rFonts w:ascii="Calibri" w:hAnsi="Calibri"/>
          <w:b/>
          <w:color w:val="4A6B25"/>
          <w:sz w:val="20"/>
        </w:rPr>
        <w:t xml:space="preserve">3. </w:t>
      </w:r>
      <w:r>
        <w:rPr>
          <w:rFonts w:ascii="Calibri" w:hAnsi="Calibri"/>
          <w:b w:val="0"/>
          <w:color w:val="3A4A28"/>
          <w:sz w:val="20"/>
        </w:rPr>
        <w:t>Trading at a 9% discount to NAV with a 19% yield creates a high income floor that partially compensates for capital risk, potentially attractive for income-focused investors willing to accept CLO equity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CLO equity market dislocation or rising defaults in the underlying leveraged loan pool could drive further NAV declines from the already-depressed $4.17/share level — a broad recession would disproportionately impact below-investment-grade borrowers in the CLO portfolio [1]</w:t>
      </w:r>
    </w:p>
    <w:p>
      <w:pPr>
        <w:spacing w:before="40" w:after="40"/>
        <w:ind w:left="283"/>
      </w:pPr>
      <w:r>
        <w:rPr>
          <w:rFonts w:ascii="Calibri" w:hAnsi="Calibri"/>
          <w:b/>
          <w:color w:val="4A6B25"/>
          <w:sz w:val="20"/>
        </w:rPr>
        <w:t xml:space="preserve">2. </w:t>
      </w:r>
      <w:r>
        <w:rPr>
          <w:rFonts w:ascii="Calibri" w:hAnsi="Calibri"/>
          <w:b w:val="0"/>
          <w:color w:val="3A4A28"/>
          <w:sz w:val="20"/>
        </w:rPr>
        <w:t>Distribution has already been cut 57% from $0.14/month to $0.06/month, and further cuts remain possible if net investment income continues to decline — the 90% payout ratio leaves minimal cushion against NII deterioration [3]</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creates misaligned incentives — management fees are assessed on total assets including leverage, meaning the manager benefits from maintaining leverage even when it harms equity shareholders during drawdowns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Eagle Point Credit's core business — owning equity and junior debt tranches of CLOs backed by senior secured corporate loans — is structurally immune to AI substitution [1]. The underlying assets are legal claims on real-world corporate debt, and AI cannot replace the ownership of financial instruments, the structural complexity of CLO waterfalls, or the relationship-based deal sourcing that drives CLO origination. The fund's value proposition is access to a specialized, institutionally-dominated asset class (CLO equity) through a public vehicle, which is a structural advantage unrelated to technology disruption. Minor exposure exists in that AI could enhance competing managers' analytical capabilities, compressing the alpha available to specialist CLO managers, but this is a marginal competitive risk rather than existential disruption. AI Opportunity (0/1): No AI-related revenue or products. The fund is a passive financial vehicle that generates returns from CLO cash flows, not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Eagle Point Credit Q1 2026 Earnings Call and Quarterly Report — NAV $4.17/share (-26.8%), NII $0.20/share, Investment Income $42.4M, Distribution Cut to $0.06/month, May 2026</w:t>
      </w:r>
    </w:p>
    <w:p>
      <w:pPr>
        <w:spacing w:before="20" w:after="20"/>
        <w:ind w:left="170"/>
      </w:pPr>
      <w:r>
        <w:rPr>
          <w:rFonts w:ascii="Calibri" w:hAnsi="Calibri"/>
          <w:b/>
          <w:color w:val="4A6B25"/>
          <w:sz w:val="15"/>
        </w:rPr>
        <w:t xml:space="preserve">2. </w:t>
      </w:r>
      <w:r>
        <w:rPr>
          <w:rFonts w:ascii="Calibri" w:hAnsi="Calibri"/>
          <w:b w:val="0"/>
          <w:color w:val="3A4A28"/>
          <w:sz w:val="17"/>
        </w:rPr>
        <w:t>Eagle Point Credit Company Website, ZoomInfo, Eagle Point Credit Management Team Profiles — CEO Thomas Majewski, Management Structure, eaglepointcreditcompany.com,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Barchart, CEF Connect — ECC Key Statistics: Stock Price $3.78, ROE -18.07%, D/E 58%, Yield 19%, Avg Volume 1.17M,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