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ED</w:t>
      </w:r>
      <w:r>
        <w:rPr>
          <w:rFonts w:ascii="Calibri" w:hAnsi="Calibri"/>
          <w:b/>
          <w:color w:val="1A2010"/>
          <w:sz w:val="40"/>
        </w:rPr>
        <w:t xml:space="preserve">  Consolidated Edison, Inc.</w:t>
      </w:r>
    </w:p>
    <w:p>
      <w:pPr>
        <w:spacing w:after="120"/>
      </w:pPr>
      <w:r>
        <w:rPr>
          <w:rFonts w:ascii="Calibri" w:hAnsi="Calibri"/>
          <w:b/>
          <w:color w:val="6E8450"/>
          <w:sz w:val="18"/>
        </w:rPr>
        <w:t>DIVIDEND SLEEVE · 2026-09-10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NYSE · United States</w:t>
      </w:r>
    </w:p>
    <w:p>
      <w:pPr>
        <w:spacing w:after="80"/>
      </w:pPr>
      <w:r>
        <w:rPr>
          <w:rFonts w:ascii="Calibri" w:hAnsi="Calibri"/>
          <w:b w:val="0"/>
          <w:color w:val="3A4A28"/>
          <w:sz w:val="20"/>
        </w:rPr>
        <w:t>Consolidated Edison is one of the largest investor-owned energy companies in the United States, providing electric service to approximately 3.5 million customers and gas service to approximately 1.1 million customers in New York City and Westchester County. Through its subsidiary Orange and Rockland Utilities, it also serves customers in southeastern New York and adjacent areas of New Jersey and Pennsylvania. The company sold its Clean Energy Businesses to RWE AG for approximately $6.8 billion in 2023, refocusing exclusively on regulated utility operations.</w:t>
      </w:r>
    </w:p>
    <w:p>
      <w:r>
        <w:rPr>
          <w:rFonts w:ascii="Calibri" w:hAnsi="Calibri"/>
          <w:b/>
          <w:color w:val="6E8450"/>
          <w:sz w:val="18"/>
        </w:rPr>
        <w:t>13,000 Employees · https://www.conedison.com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ConEd sold its Clean Energy Businesses to RWE for $6.8B in 2023, a significant strategic pivot that refocused the company purely on regulated utility operations, but this was a divestiture rather than an innovative expansion [1]. The company completed deployment of Advanced Metering Infrastructure (AMI) to 4.7 million customers and invested in grid modernization, though these are standard utility upgrades. AI Deployment (0/2): No specific AI products, platforms, or quantified AI-driven efficiency gains have been disclosed; ConEd's technology investment is focused on grid reliability and smart meter data analytics without explicit AI branding or revenue attribution [2]. Market Share (2/2): ConEd holds a regulated monopoly serving approximately 10 million people in the New York City metropolitan area — the most densely populated and economically critical service territory in the United States — providing definitive market leadership [1]. Pipeline (1/2): The company has a multi-billion-dollar capital investment plan supporting 5-year adjusted EPS CAGR of 6-7% based on the 2026 guidance midpoint of $6.10, with rate base growth driven by infrastructure modernization and grid resilience in NYC [2]. R&amp;D Intensity (0/1): Regulated utilities invest through capital expenditure rather than R&amp;D; ConEd does not separately report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ConEd's stated purpose is 'to provide energy services safely, reliably, efficiently, and in an environmentally sound manner' — clear and functional but indistinguishable from any peer utility and lacking a transformative vision beyond operational excellence [2]. Community Impact (1/2): ConEd serves as essential infrastructure for 10 million people in the NYC metro area and invested $2.3 billion in critical infrastructure upgrades following the 2013 East Harlem gas explosion that killed eight people, demonstrating commitment to safety improvements, though specific charitable or community development programs were not identified [3]. Employee Retention (1/2): ConEd maintains a stable, predominantly unionized workforce of approximately 13,000 employees typical of regulated utilities, with long institutional tenure supported by the company's 200+ year operating history since 1823, though specific retention metrics are not publicly disclosed [1]. Insider Buying (0/2): No specific data on net insider buying or selling by ConEd executives was found in available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ConEd delivers a solid financial profile anchored by the stability of its premium NYC service territory. Full-year 2025 adjusted EPS of $5.70 on $16.9B revenue represents 5.6% and 10.9% growth respectively, with 2026 guidance reaffirmed at $6.00-$6.20 adjusted EPS [1][2]. D/E of 117% is well-managed for a capital-intensive regulated utility, while ROE of 8.77% reflects the lower-return nature of regulated rate structures. Net profit margin of 12.0% is solid for the sector. The dividend profile is exceptional: 52 consecutive years of increases (Dividend King status) and 141 years of continuous payments dating to 1885, with a sustainable 57% payout ratio [4]. Mechanically scored: D/E 117% scores 0.80 (1x), ROE 8.77% scores 0.58 (1x), Revenue Growth YoY 9.1% scores 0.97 (1x), Revenue Growth 5yr CAGR 5.0% scores 0.67 (1x), Forward P/E 18.56 scores 1.0 (1x), Profit Margin 12.0% scores 0.60 (1x), Payout Ratio 57% scores 0.72 (1x), Consecutive Years Paid 141 scores 1.0 (2x), Consecutive Years Growth 52 scores 1.0 (1x), 5yr Dividend Growth CAGR 2.5% scores 0.42 (2x). Weighted sum = 9.17, max = 12, score = 7.64, rounds to 8. Liquidity easily cleared: 1.8M avg vol x $112 = $201.6M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Consolidated Edison demonstrates moderate infinite game characteristics rooted in its extraordinary institutional permanence — 200+ years of continuous operation since 1823 and 141 years of uninterrupted dividends. However, the company's strategic posture is conservative and incrementalist rather than visionary, having sold its renewables business to retreat to the safety of regulated operations rather than boldly expanding into new energy frontiers.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ConEd's purpose — powering New York City safely and reliably — is genuine and validated by 200 years of continuous operation through world wars, financial crises, blackouts, and pandemics [1]. The 141-year uninterrupted dividend record demonstrates deep institutional permanence and stakeholder commitment. However, the cause is functional (keeping the lights on) rather than transformative — it describes what ConEd does, not a vision of a better future. The sale of Clean Energy Businesses in 2023 removed the one element of aspirational mission from the portfolio.</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ConEd maintains a stable, unionized workforce of approximately 13,000 employees with the institutional stability that comes from 200+ years of operation [1]. Following the 2013 East Harlem explosion, the company invested $2.3B in safety infrastructure, demonstrating responsiveness to operational safety concerns [3]. However, no evidence of exceptional trust-building practices, employee empowerment programs, or standout cultural initiatives beyond standard utility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ConEd operates as a regulated monopoly in its service territory with no direct competition for its core electric and gas distribution business. The company does not engage in competitive language because it has no competitors in its territory. While it benchmarks operational metrics against utility peers, there is no evidence of using competitive dynamics as motivation for self-improvement or explicitly acknowledging rivals' strengths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ConEd has evolved incrementally over its 200-year history from gas lighting to electric service to today's multi-energy platform, and the $6.8B sale of Clean Energy Businesses to RWE in 2023 represented a significant strategic pivot back to pure regulated utility operations [1]. The company has adapted to successive energy transitions from gas to electric to grid modernization. However, the Clean Energy sale could be viewed as retreating from the energy transition rather than embracing it — choosing safety over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sell the Clean Energy Businesses for $6.8B and refocus on core regulated operations required strategic conviction to forgo the optionality of a growing renewables business [1]. ConEd maintained 52 consecutive dividend increases through recessions, the 2008 financial crisis, and pandemic disruption, showing commitment to long-term shareholder returns. However, the strategic posture is fundamentally conservative — defending rather than expanding — and no examples of bold counter-cyclical investment or entry into new business areas were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Consolidated Edison offers one of the most reliable income streams in the utility sector, with 52 consecutive years of dividend increases (Dividend King status) and 141 years of continuous dividend payments dating to 1885 [4]. Q2 2026 revenue of $4.07B (+13.2% YoY) and net income growth of 33.3% demonstrate accelerating operational momentum, with full-year guidance reaffirmed at $6.00-$6.20 adjusted EPS and a five-year CAGR target of 6-7% [1][2]. Serving the most densely populated and economically critical metro area in the United States provides structural demand stability — ConEd's 3.5 million electric customers and 1.1 million gas customers in NYC and Westchester represent irreplaceable franchise value. The regulated utility model delivers predictable earnings growth supported by constructive rate case relationships, and the stock trades at a reasonable 18.6x forward earnings for a premium service territory with AI-immune revenue streams [4].</w:t>
      </w:r>
    </w:p>
    <w:p>
      <w:pPr>
        <w:spacing w:after="120"/>
      </w:pPr>
      <w:r>
        <w:rPr>
          <w:rFonts w:ascii="Calibri" w:hAnsi="Calibri"/>
          <w:b w:val="0"/>
          <w:color w:val="3A4A28"/>
          <w:sz w:val="20"/>
        </w:rPr>
        <w:t>The bear case centers on ConEd's modest growth profile relative to peers. The 6-7% EPS CAGR lags utilities with strong data center tailwinds like AEP (9%) and NextEra (10%+), and the $6.8B sale of Clean Energy Businesses to RWE in 2023 removed the company's renewables optionality, leaving a pure regulated utility with limited growth levers beyond rate base expansion [1][2]. D/E of 117% and ROE of 8.77% are manageable but unremarkable, and the 2.5% five-year dividend growth CAGR barely exceeds inflation, making real income growth negligible for dividend investors [4]. New York's regulatory environment faces political pressure on rate increases given cost-of-living sensitivities, and a net profit margin of just 12% leaves limited buffer against cost overruns. The 2013 East Harlem gas explosion ($153M+ settlement, 8 deaths) and subsequent $2.3B in infrastructure remediation highlighted operational safety risks inherent to aging urban utility infrastructure that could recur [3]. Forward P/E of 18.6x prices in steady-state performance with minimal upside optionality.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Rate base growth from ongoing grid modernization and infrastructure resilience investments across the NYC metro area, with ConEd's five-year capital plan supporting 6-7% adjusted EPS CAGR through the end of the decade [1][2]</w:t>
      </w:r>
    </w:p>
    <w:p>
      <w:pPr>
        <w:spacing w:before="40" w:after="40"/>
        <w:ind w:left="283"/>
      </w:pPr>
      <w:r>
        <w:rPr>
          <w:rFonts w:ascii="Calibri" w:hAnsi="Calibri"/>
          <w:b/>
          <w:color w:val="4A6B25"/>
          <w:sz w:val="20"/>
        </w:rPr>
        <w:t xml:space="preserve">2. </w:t>
      </w:r>
      <w:r>
        <w:rPr>
          <w:rFonts w:ascii="Calibri" w:hAnsi="Calibri"/>
          <w:b w:val="0"/>
          <w:color w:val="3A4A28"/>
          <w:sz w:val="20"/>
        </w:rPr>
        <w:t>Indirect AI data center demand tailwind as NYC-area electricity consumption increases, with ConEd positioned as the sole regulated provider for the densely populated service territory [2]</w:t>
      </w:r>
    </w:p>
    <w:p>
      <w:pPr>
        <w:spacing w:before="40" w:after="40"/>
        <w:ind w:left="283"/>
      </w:pPr>
      <w:r>
        <w:rPr>
          <w:rFonts w:ascii="Calibri" w:hAnsi="Calibri"/>
          <w:b/>
          <w:color w:val="4A6B25"/>
          <w:sz w:val="20"/>
        </w:rPr>
        <w:t xml:space="preserve">3. </w:t>
      </w:r>
      <w:r>
        <w:rPr>
          <w:rFonts w:ascii="Calibri" w:hAnsi="Calibri"/>
          <w:b w:val="0"/>
          <w:color w:val="3A4A28"/>
          <w:sz w:val="20"/>
        </w:rPr>
        <w:t>Dividend King status with 52 consecutive increases provides a floor valuation during market downturns, and potential acceleration of dividend growth rate from 2.5% CAGR as EPS growth of 6-7% creates room for higher payout growth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New York regulatory risk — political pressure to limit rate increases in one of the highest cost-of-living cities in the US could compress returns on rate base investment and slow EPS growth below the 6-7% target [1][2]</w:t>
      </w:r>
    </w:p>
    <w:p>
      <w:pPr>
        <w:spacing w:before="40" w:after="40"/>
        <w:ind w:left="283"/>
      </w:pPr>
      <w:r>
        <w:rPr>
          <w:rFonts w:ascii="Calibri" w:hAnsi="Calibri"/>
          <w:b/>
          <w:color w:val="4A6B25"/>
          <w:sz w:val="20"/>
        </w:rPr>
        <w:t xml:space="preserve">2. </w:t>
      </w:r>
      <w:r>
        <w:rPr>
          <w:rFonts w:ascii="Calibri" w:hAnsi="Calibri"/>
          <w:b w:val="0"/>
          <w:color w:val="3A4A28"/>
          <w:sz w:val="20"/>
        </w:rPr>
        <w:t>Aging urban infrastructure safety risk — the 2013 East Harlem gas explosion resulted in 8 deaths and $153M+ in costs, and ConEd's century-old gas and electric infrastructure in NYC requires ongoing investment to prevent similar incidents [3]</w:t>
      </w:r>
    </w:p>
    <w:p>
      <w:pPr>
        <w:spacing w:before="40" w:after="40"/>
        <w:ind w:left="283"/>
      </w:pPr>
      <w:r>
        <w:rPr>
          <w:rFonts w:ascii="Calibri" w:hAnsi="Calibri"/>
          <w:b/>
          <w:color w:val="4A6B25"/>
          <w:sz w:val="20"/>
        </w:rPr>
        <w:t xml:space="preserve">3. </w:t>
      </w:r>
      <w:r>
        <w:rPr>
          <w:rFonts w:ascii="Calibri" w:hAnsi="Calibri"/>
          <w:b w:val="0"/>
          <w:color w:val="3A4A28"/>
          <w:sz w:val="20"/>
        </w:rPr>
        <w:t>Below-peer growth profile with 6-7% EPS CAGR and 2.5% dividend growth CAGR versus peers offering 8-10% EPS growth with data center tailwinds, creating risk of relative multiple compression as investors rotate to higher-growth utilities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ConEd operates essential physical infrastructure — electricity and gas distribution networks — that AI structurally cannot displace. The company's regulated monopoly in the NYC metro area means AI cannot create a substitute provider, and AI-driven data center growth is increasing electricity demand across the Northeast, making ConEd a modest indirect beneficiary [1][2]. No analyst has identified AI as a substitution risk for regulated electric and gas utilities; the physical last-mile delivery of energy to 10 million people requires pipes, wires, and substations that no software can replace. AI Opportunity (0/1): While ConEd benefits indirectly from rising electricity demand driven by AI data centers in the NYC region, the company does not generate quantifiable revenue from AI-specific products or services and has not reported AI-driven internal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Con Edison 2025 Annual Earnings Release — net income $2,023M ($5.66/share GAAP), adjusted EPS $5.70, revenue $16.918B (+10.89% YoY), sold Clean Energy Businesses for $6.8B in 2023, February 2026; Q2 2026 revenue $4.07B (+13.2% YoY), net income $296M (+33.3%), H1 adjusted EPS $3.00, July 2026</w:t>
      </w:r>
    </w:p>
    <w:p>
      <w:pPr>
        <w:spacing w:before="20" w:after="20"/>
        <w:ind w:left="170"/>
      </w:pPr>
      <w:r>
        <w:rPr>
          <w:rFonts w:ascii="Calibri" w:hAnsi="Calibri"/>
          <w:b/>
          <w:color w:val="4A6B25"/>
          <w:sz w:val="15"/>
        </w:rPr>
        <w:t xml:space="preserve">2. </w:t>
      </w:r>
      <w:r>
        <w:rPr>
          <w:rFonts w:ascii="Calibri" w:hAnsi="Calibri"/>
          <w:b w:val="0"/>
          <w:color w:val="3A4A28"/>
          <w:sz w:val="17"/>
        </w:rPr>
        <w:t>Con Edison Q1 2026 Earnings and Guidance — revenue $5.10B (+6.19%), reaffirmed 2026 adjusted EPS guidance $6.00-$6.20, five-year adjusted EPS CAGR target 6-7%, May 2026; TTM revenue $17.21B (+9.09% YoY)</w:t>
      </w:r>
    </w:p>
    <w:p>
      <w:pPr>
        <w:spacing w:before="20" w:after="20"/>
        <w:ind w:left="170"/>
      </w:pPr>
      <w:r>
        <w:rPr>
          <w:rFonts w:ascii="Calibri" w:hAnsi="Calibri"/>
          <w:b/>
          <w:color w:val="4A6B25"/>
          <w:sz w:val="15"/>
        </w:rPr>
        <w:t xml:space="preserve">3. </w:t>
      </w:r>
      <w:r>
        <w:rPr>
          <w:rFonts w:ascii="Calibri" w:hAnsi="Calibri"/>
          <w:b w:val="0"/>
          <w:color w:val="3A4A28"/>
          <w:sz w:val="17"/>
        </w:rPr>
        <w:t>Con Edison ESG and Safety — Sustainalytics Strong ESG management rating, 2013 East Harlem gas explosion remediation, $2.3B infrastructure safety investment program, 2024-2026</w:t>
      </w:r>
    </w:p>
    <w:p>
      <w:pPr>
        <w:spacing w:before="20" w:after="20"/>
        <w:ind w:left="170"/>
      </w:pPr>
      <w:r>
        <w:rPr>
          <w:rFonts w:ascii="Calibri" w:hAnsi="Calibri"/>
          <w:b/>
          <w:color w:val="4A6B25"/>
          <w:sz w:val="15"/>
        </w:rPr>
        <w:t xml:space="preserve">4. </w:t>
      </w:r>
      <w:r>
        <w:rPr>
          <w:rFonts w:ascii="Calibri" w:hAnsi="Calibri"/>
          <w:b w:val="0"/>
          <w:color w:val="3A4A28"/>
          <w:sz w:val="17"/>
        </w:rPr>
        <w:t>Con Edison Dividend and Valuation — 52 consecutive years of increases (Dividend King), 141 years continuous payments since 1885, $3.55/share annual dividend, 3.18% yield, 57% payout ratio, PE 19.95, Forward PE 18.56,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