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EHC</w:t>
      </w:r>
      <w:r>
        <w:rPr>
          <w:rFonts w:ascii="Calibri" w:hAnsi="Calibri"/>
          <w:b/>
          <w:color w:val="1A2010"/>
          <w:sz w:val="40"/>
        </w:rPr>
        <w:t xml:space="preserve">  Encompass Health Corporation</w:t>
      </w:r>
    </w:p>
    <w:p>
      <w:pPr>
        <w:spacing w:after="120"/>
      </w:pPr>
      <w:r>
        <w:rPr>
          <w:rFonts w:ascii="Calibri" w:hAnsi="Calibri"/>
          <w:b/>
          <w:color w:val="6E8450"/>
          <w:sz w:val="18"/>
        </w:rPr>
        <w:t>GROWTH SLEEVE · 2026-09-25 · Inspire: 59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NYSE · United States</w:t>
      </w:r>
    </w:p>
    <w:p>
      <w:pPr>
        <w:spacing w:after="80"/>
      </w:pPr>
      <w:r>
        <w:rPr>
          <w:rFonts w:ascii="Calibri" w:hAnsi="Calibri"/>
          <w:b w:val="0"/>
          <w:color w:val="3A4A28"/>
          <w:sz w:val="20"/>
        </w:rPr>
        <w:t>Encompass Health is the largest owner and operator of inpatient rehabilitation hospitals in the United States, providing post-acute care through approximately 160+ hospitals across 37 states. The company focuses on helping patients recover from strokes, brain injuries, spinal cord injuries, and other complex medical conditions. Encompass spun off its home health and hospice business (Enhabit) in 2022 to sharpen its focus on inpatient rehabilitation. Q2 2026 revenue grew 9.6% YoY driven by 5.6% discharge growth and 3.9% higher net revenue per discharge. FY2026 guidance raised to $6.41-6.49B revenue and $6.02-6.25 adjusted EPS, with 7 new hospitals planned.</w:t>
      </w:r>
    </w:p>
    <w:p>
      <w:r>
        <w:rPr>
          <w:rFonts w:ascii="Calibri" w:hAnsi="Calibri"/>
          <w:b/>
          <w:color w:val="6E8450"/>
          <w:sz w:val="18"/>
        </w:rPr>
        <w:t>42,000 Employees · https://www.encompasshealth.com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Encompass Health executed the Enhabit spin-off in 2022, a meaningful corporate restructuring that sharpened focus on inpatient rehabilitation. The company is expanding through new hospital openings (7 planned for 2026) and growing into higher-acuity categories including stroke and brain injury rehabilitation [1]. However, these represent steady operational expansion rather than transformative product launches or market pivots. AI Deployment (0/2): No evidence of AI-powered products shipping to patients or quantified AI-driven operational savings. The company does not highlight AI initiatives in earnings materials or public communications. Market Share (2/2): Encompass Health is the dominant leader in US inpatient rehabilitation, operating 160+ hospitals — the largest network by a significant margin. Its scale provides competitive advantages in payer negotiations, clinical expertise, and geographic coverage that smaller competitors cannot match [2]. Product Pipeline (1/2): 7 new hospital openings planned for 2026 with a multi-year pipeline for geographic expansion, providing specific growth visibility. Growing emphasis on medically complex categories (stroke, brain injury) represents clinical service evolution [2]. R&amp;D Intensity (0/1): Healthcare facility operator with no meaningful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Encompass Health's purpose — helping patients achieve their fullest potential through rehabilitation — is clear, specific to inpatient rehabilitation, and connects the company's work to meaningful patient recovery outcomes. However, this purpose is not deeply distinctive from other healthcare providers and reads as industry-standard clinical mission language rather than a transformative cause. Community Impact (0/2): No evidence of significant charitable programs, foundation work, or community investment beyond standard healthcare provider community engagement. ESG reporting framework focuses on governance and clinical quality rather than distinctive community impact [3]. Employee Retention (1/2): Glassdoor culture and values rating of 3.9/5 and career opportunities 3.9/5 suggest above-average employee sentiment. Reviews note collaborative culture and management approachability. However, complaints about 'impossible demands from upper management,' micromanagement, and inconsistent leadership quality indicate uneven organizational experience [3]. Insider Buying (0/2): No evidence of meaningful net insider buying by executives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PEG excluded — unavailable). Encompass Health demonstrates strong capital returns with ROE of 24.97% well above the 15% target, and an attractive Forward P/E of 18.41x below the 20x target [4]. Revenue growth YoY of 9.6% nearly meets the 10% target, driven by 5.6% discharge growth and 3.9% higher revenue per discharge [2]. Estimated 5yr revenue CAGR of ~8% (post-Enhabit spinoff comparable basis) approaches the 10% target. D/E of 82.12% is modestly above the 70% target but well below the 300% floor, reflecting manageable leverage. Profit margin of 10.01% is below the 20% target but above healthcare facility industry norms and improving with operating leverage. Liquidity floor easily cleared at ~$115.8M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Encompass Health demonstrates a mixed mindset with genuine elements of infinite thinking in its commitment to patient rehabilitation outcomes and its strategic focus sharpened by the Enhabit spin-off. The company's purpose — helping patients achieve their fullest potential — is meaningful and has shaped strategic decisions, including the decision to divest home health to concentrate exclusively on inpatient rehabilitation. However, the organization lacks evidence of courageous sacrifice, transformative flexibility, or a Just Cause that transcends standard healthcare provider language. The competitive posture is constructive but the company has not been tested through the kind of strategic crisis that reveals true infinite game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Encompass Health's purpose — helping patients achieve their fullest potential through rehabilitation — is genuine and partially lived. The 2022 Enhabit spin-off demonstrated commitment to this purpose by divesting a profitable home health business to concentrate exclusively on inpatient rehabilitation, and the expanding focus on medically complex categories (stroke, brain injury) deepens the cause [1]. However, the purpose has not been tested through decades of multi-leader consistency or validated by strategic sacrifice during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culture and values rating of 3.9/5 and career opportunities 3.9/5 suggest above-average employee sentiment for a healthcare facility operator. Reviews note collaborative culture where teamwork impacts bonuses and outcomes. However, complaints about 'impossible demands from upper management,' micromanagement, and a 'toxic work environment' at some facilities suggest inconsistent organizational trust that varies significantly by location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As the dominant market leader in inpatient rehabilitation, Encompass Health competes against smaller regional operators and the rehabilitation units of acute care hospitals. The company's competitive language focuses on clinical quality metrics, patient outcomes, and discharge functional improvement scores rather than aggressive market share rhetoric — an improvement-oriented competitive posture consistent with learning from the competitive landscape rather than seeking to destroy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Encompass Health has remained focused on inpatient rehabilitation for decades. The Enhabit spin-off actually narrowed the business rather than demonstrating transformative flexibility. While the company has grown steadily through new hospital openings and geographic expansion, it has not fundamentally reinvented its business model or pivoted to address new markets. The strategy is consistent and disciplined but rigid by Sinek's standard.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2022 Enhabit spin-off required divesting a profitable home health and hospice business (~$1.1B revenue) to sharpen strategic focus on inpatient rehabilitation — a meaningful decision that prioritized long-term clarity over short-term revenue diversification. Planning 7 new hospital openings in 2026 while growing into higher-acuity medically complex categories shows investment conviction. However, there is limited evidence of costly principled decisions that sacrificed earnings for capability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Encompass Health at 18.41x forward earnings is a high-quality healthcare compounder with dominant market position in a structurally growing niche — the aging US population and rising stroke/brain injury incidence drive secular demand for inpatient rehabilitation that is immune to AI disruption and resistant to economic cycles [1]. Q2 2026 revenue grew 9.6% YoY with raised FY2026 guidance of $6.41-6.49B revenue and $6.02-6.25 adjusted EPS, reflecting consistent execution. ROE of 24.97% demonstrates strong capital returns, and 7 new hospital openings in 2026 provide visible organic growth. The Enhabit spin-off sharpened strategic focus, and growing emphasis on medically complex categories (stroke, brain injury) drives higher revenue per discharge (+3.9% in Q2) and improved acuity mix [2]. Inspire Impact Score of 59 (ALIGNED) makes this suitable for faith-based allocations.</w:t>
      </w:r>
    </w:p>
    <w:p>
      <w:pPr>
        <w:spacing w:after="120"/>
      </w:pPr>
      <w:r>
        <w:rPr>
          <w:rFonts w:ascii="Calibri" w:hAnsi="Calibri"/>
          <w:b w:val="0"/>
          <w:color w:val="3A4A28"/>
          <w:sz w:val="20"/>
        </w:rPr>
        <w:t>The bear case centers on valuation, healthcare regulatory risk, and labor constraints. Forward P/E of 18.41x prices in sustained high-single-digit growth for a healthcare facility operator that faces inherent margin constraints from Medicare reimbursement rates — CMS payment rule changes could compress profitability if annual rate increases fall below labor cost inflation [4]. D/E of 82.12% is manageable but limits financial flexibility for accelerating new hospital openings. Revenue growth of 9.6% is strong for the sector but relies on discharge volume growth (5.6%) that is constrained by physical hospital capacity and licensed therapist availability — the healthcare labor shortage (nurses, physical therapists, occupational therapists) is a structural headwind that limits expansion speed and pressures wages. Innovation score of 4 reflects a company that dominates its niche through operational excellence and scale rather than technology differentiation, leaving it potentially vulnerable to more tech-enabled competitors or alternative care delivery models over the long term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Aging US population (65+ cohort growing 3%+ annually) driving secular increase in stroke, brain injury, and joint replacement rehabilitation volumes — structural demand tailwind independent of economic cycles [1][2]</w:t>
      </w:r>
    </w:p>
    <w:p>
      <w:pPr>
        <w:spacing w:before="40" w:after="40"/>
        <w:ind w:left="283"/>
      </w:pPr>
      <w:r>
        <w:rPr>
          <w:rFonts w:ascii="Calibri" w:hAnsi="Calibri"/>
          <w:b/>
          <w:color w:val="4A6B25"/>
          <w:sz w:val="20"/>
        </w:rPr>
        <w:t xml:space="preserve">2. </w:t>
      </w:r>
      <w:r>
        <w:rPr>
          <w:rFonts w:ascii="Calibri" w:hAnsi="Calibri"/>
          <w:b w:val="0"/>
          <w:color w:val="3A4A28"/>
          <w:sz w:val="20"/>
        </w:rPr>
        <w:t>7 new hospital openings in 2026 with a multi-year pipeline for geographic expansion into underserved markets, adding ~4% annual capacity growth on top of same-hospital discharge improvements</w:t>
      </w:r>
    </w:p>
    <w:p>
      <w:pPr>
        <w:spacing w:before="40" w:after="40"/>
        <w:ind w:left="283"/>
      </w:pPr>
      <w:r>
        <w:rPr>
          <w:rFonts w:ascii="Calibri" w:hAnsi="Calibri"/>
          <w:b/>
          <w:color w:val="4A6B25"/>
          <w:sz w:val="20"/>
        </w:rPr>
        <w:t xml:space="preserve">3. </w:t>
      </w:r>
      <w:r>
        <w:rPr>
          <w:rFonts w:ascii="Calibri" w:hAnsi="Calibri"/>
          <w:b w:val="0"/>
          <w:color w:val="3A4A28"/>
          <w:sz w:val="20"/>
        </w:rPr>
        <w:t>Revenue per discharge growth of 3.9% in Q2 2026 driven by higher patient acuity and mix shift toward medically complex cases (stroke, brain injury) — improving unit economics without relying solely on volume 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Medicare reimbursement risk — CMS payment rule changes could compress margins if annual rate increases fall below healthcare labor cost inflation, directly impacting the ~70% of revenue derived from Medicare/Medicare Advantage [4]</w:t>
      </w:r>
    </w:p>
    <w:p>
      <w:pPr>
        <w:spacing w:before="40" w:after="40"/>
        <w:ind w:left="283"/>
      </w:pPr>
      <w:r>
        <w:rPr>
          <w:rFonts w:ascii="Calibri" w:hAnsi="Calibri"/>
          <w:b/>
          <w:color w:val="4A6B25"/>
          <w:sz w:val="20"/>
        </w:rPr>
        <w:t xml:space="preserve">2. </w:t>
      </w:r>
      <w:r>
        <w:rPr>
          <w:rFonts w:ascii="Calibri" w:hAnsi="Calibri"/>
          <w:b w:val="0"/>
          <w:color w:val="3A4A28"/>
          <w:sz w:val="20"/>
        </w:rPr>
        <w:t>Healthcare labor shortage (physical therapists, occupational therapists, nurses) constraining expansion speed, pressuring wages, and limiting same-hospital discharge growth capacity — a structural headwind that cannot be quickly resolved</w:t>
      </w:r>
    </w:p>
    <w:p>
      <w:pPr>
        <w:spacing w:before="40" w:after="40"/>
        <w:ind w:left="283"/>
      </w:pPr>
      <w:r>
        <w:rPr>
          <w:rFonts w:ascii="Calibri" w:hAnsi="Calibri"/>
          <w:b/>
          <w:color w:val="4A6B25"/>
          <w:sz w:val="20"/>
        </w:rPr>
        <w:t xml:space="preserve">3. </w:t>
      </w:r>
      <w:r>
        <w:rPr>
          <w:rFonts w:ascii="Calibri" w:hAnsi="Calibri"/>
          <w:b w:val="0"/>
          <w:color w:val="3A4A28"/>
          <w:sz w:val="20"/>
        </w:rPr>
        <w:t>Forward P/E of 18.41x requires sustained high-single-digit revenue growth — any deceleration from discharge volume slowdowns, capacity constraints, or regulatory headwinds could trigger multiple compression from the current premium healthcare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Encompass Health's core business — operating inpatient rehabilitation hospitals where licensed physical, occupational, and speech therapists help patients recover from strokes, brain injuries, and complex medical conditions — is structurally immune to AI disruption. AI cannot replace the hands-on, physical work of helping a stroke patient relearn to walk, talk, and perform daily activities. The business requires physical hospital facilities, licensed clinical staff, and deeply regulated healthcare processes (Medicare/CMS oversight, state licensing, accreditation) that create structural barriers AI cannot circumvent [1][2]. AI may enhance diagnostics, treatment planning, and operational efficiency, but increases productivity rather than threatening the business model. AI Opportunity (0/1): No evidence of AI-related revenue generation. The company does not highlight AI as a revenue driver in its earnings materials.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Encompass Health Q1 2026 Earnings Release — Revenue +9.0% YoY, Adjusted EBITDA +11.2%, Adjusted EPS +16.8%, Raised FY2026 guidance, April 2026</w:t>
      </w:r>
    </w:p>
    <w:p>
      <w:pPr>
        <w:spacing w:before="20" w:after="20"/>
        <w:ind w:left="170"/>
      </w:pPr>
      <w:r>
        <w:rPr>
          <w:rFonts w:ascii="Calibri" w:hAnsi="Calibri"/>
          <w:b/>
          <w:color w:val="4A6B25"/>
          <w:sz w:val="15"/>
        </w:rPr>
        <w:t xml:space="preserve">2. </w:t>
      </w:r>
      <w:r>
        <w:rPr>
          <w:rFonts w:ascii="Calibri" w:hAnsi="Calibri"/>
          <w:b w:val="0"/>
          <w:color w:val="3A4A28"/>
          <w:sz w:val="17"/>
        </w:rPr>
        <w:t>Encompass Health Q2 2026 Earnings Release — Revenue +9.6% YoY, EBITDA $348M (+9.2%), EPS +10.7%, Discharge Growth +5.6%, Revenue/Discharge +3.9%, FY2026 Guidance: $6.41-6.49B Revenue, $6.02-6.25 Adjusted EPS, 7 New Hospitals, Seeking Alpha/Investing.com, July 2026</w:t>
      </w:r>
    </w:p>
    <w:p>
      <w:pPr>
        <w:spacing w:before="20" w:after="20"/>
        <w:ind w:left="170"/>
      </w:pPr>
      <w:r>
        <w:rPr>
          <w:rFonts w:ascii="Calibri" w:hAnsi="Calibri"/>
          <w:b/>
          <w:color w:val="4A6B25"/>
          <w:sz w:val="15"/>
        </w:rPr>
        <w:t xml:space="preserve">3. </w:t>
      </w:r>
      <w:r>
        <w:rPr>
          <w:rFonts w:ascii="Calibri" w:hAnsi="Calibri"/>
          <w:b w:val="0"/>
          <w:color w:val="3A4A28"/>
          <w:sz w:val="17"/>
        </w:rPr>
        <w:t>Encompass Health Leadership and Culture — Glassdoor 3.9/5 Culture &amp; Values, 3.9/5 Career Opportunities, ESG framework based on SASB standards,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EHC Key Statistics: P/E 20.52, Forward P/E 18.41, ROE 24.97%, D/E 82.12%, Profit Margin 10.01%, Stock Price $122.91, Avg Volume 941,994,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